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51" w:rsidRPr="00096651" w:rsidRDefault="00096651" w:rsidP="00096651">
      <w:pPr>
        <w:suppressAutoHyphens/>
        <w:rPr>
          <w:sz w:val="32"/>
          <w:szCs w:val="32"/>
          <w:lang w:eastAsia="ar-SA"/>
        </w:rPr>
      </w:pPr>
      <w:r w:rsidRPr="00096651">
        <w:rPr>
          <w:b/>
          <w:sz w:val="36"/>
          <w:szCs w:val="36"/>
          <w:lang w:eastAsia="ar-SA"/>
        </w:rPr>
        <w:t xml:space="preserve">    </w:t>
      </w:r>
      <w:r w:rsidR="00F7155E">
        <w:rPr>
          <w:b/>
          <w:lang w:eastAsia="ar-SA"/>
        </w:rPr>
        <w:t xml:space="preserve">              </w:t>
      </w:r>
    </w:p>
    <w:p w:rsidR="00096651" w:rsidRPr="00096651" w:rsidRDefault="00096651" w:rsidP="00096651">
      <w:pPr>
        <w:suppressAutoHyphens/>
        <w:jc w:val="center"/>
        <w:rPr>
          <w:b/>
          <w:lang w:eastAsia="ar-SA"/>
        </w:rPr>
      </w:pPr>
      <w:r>
        <w:rPr>
          <w:b/>
          <w:lang w:eastAsia="ar-SA"/>
        </w:rPr>
        <w:t>Доклад</w:t>
      </w:r>
    </w:p>
    <w:p w:rsidR="00096651" w:rsidRPr="00096651" w:rsidRDefault="00096651" w:rsidP="00096651">
      <w:pPr>
        <w:suppressAutoHyphens/>
        <w:jc w:val="center"/>
        <w:rPr>
          <w:b/>
          <w:lang w:eastAsia="ar-SA"/>
        </w:rPr>
      </w:pPr>
      <w:r w:rsidRPr="00096651">
        <w:rPr>
          <w:b/>
          <w:lang w:eastAsia="ar-SA"/>
        </w:rPr>
        <w:t>по результатам проведения внешней проверки годового отчета об исполнении бюджета городского округа Вичуга за 2016 год.</w:t>
      </w:r>
    </w:p>
    <w:p w:rsidR="00096651" w:rsidRPr="00096651" w:rsidRDefault="00096651" w:rsidP="00096651">
      <w:pPr>
        <w:suppressAutoHyphens/>
        <w:jc w:val="both"/>
        <w:rPr>
          <w:lang w:eastAsia="ar-SA"/>
        </w:rPr>
      </w:pPr>
    </w:p>
    <w:p w:rsidR="00096651" w:rsidRPr="00096651" w:rsidRDefault="00096651" w:rsidP="00096651">
      <w:pPr>
        <w:suppressAutoHyphens/>
        <w:jc w:val="both"/>
        <w:rPr>
          <w:lang w:eastAsia="ar-SA"/>
        </w:rPr>
      </w:pPr>
      <w:r>
        <w:rPr>
          <w:lang w:eastAsia="ar-SA"/>
        </w:rPr>
        <w:t>20</w:t>
      </w:r>
      <w:r w:rsidRPr="00096651">
        <w:rPr>
          <w:lang w:eastAsia="ar-SA"/>
        </w:rPr>
        <w:t xml:space="preserve"> апреля 2017 года</w:t>
      </w:r>
    </w:p>
    <w:p w:rsidR="00883AE2" w:rsidRPr="00883AE2" w:rsidRDefault="00883AE2" w:rsidP="00883AE2">
      <w:pPr>
        <w:jc w:val="both"/>
        <w:rPr>
          <w:lang w:eastAsia="ar-SA"/>
        </w:rPr>
      </w:pPr>
    </w:p>
    <w:p w:rsidR="00883AE2" w:rsidRDefault="00883AE2" w:rsidP="00883AE2">
      <w:pPr>
        <w:suppressAutoHyphens/>
        <w:jc w:val="both"/>
        <w:rPr>
          <w:lang w:eastAsia="ar-SA"/>
        </w:rPr>
      </w:pPr>
      <w:r w:rsidRPr="00883AE2">
        <w:rPr>
          <w:lang w:eastAsia="ar-SA"/>
        </w:rPr>
        <w:tab/>
      </w:r>
      <w:proofErr w:type="gramStart"/>
      <w:r w:rsidRPr="00883AE2">
        <w:rPr>
          <w:lang w:eastAsia="ar-SA"/>
        </w:rPr>
        <w:t>Внешняя проверка годового отчета об исполнении бюджета городского округа Вичуга за 2016 год проведена Контрольно-счетной комиссией городского округа Вичуга на основании ст. ст. 157, 264.4 Бюджетного кодекса Российской Федерации, ст.21 Положения о бюджетном процессе в городском округе Вичуга, ст. 9 Положения о контрольно-счетной комиссии утвержденного решением городской Думы городского, п. 2.2.</w:t>
      </w:r>
      <w:proofErr w:type="gramEnd"/>
      <w:r w:rsidRPr="00883AE2">
        <w:rPr>
          <w:lang w:eastAsia="ar-SA"/>
        </w:rPr>
        <w:t xml:space="preserve"> Плана работы Контрольно-счетной комиссии городского округа Вичуга на </w:t>
      </w:r>
      <w:r w:rsidRPr="00883AE2">
        <w:rPr>
          <w:lang w:val="en-US" w:eastAsia="ar-SA"/>
        </w:rPr>
        <w:t>II</w:t>
      </w:r>
      <w:r w:rsidRPr="00883AE2">
        <w:rPr>
          <w:lang w:eastAsia="ar-SA"/>
        </w:rPr>
        <w:t xml:space="preserve"> квартал 2017</w:t>
      </w:r>
      <w:r>
        <w:rPr>
          <w:lang w:eastAsia="ar-SA"/>
        </w:rPr>
        <w:t xml:space="preserve"> года.</w:t>
      </w:r>
    </w:p>
    <w:p w:rsidR="00096651" w:rsidRPr="00883AE2" w:rsidRDefault="00096651" w:rsidP="00096651">
      <w:pPr>
        <w:suppressAutoHyphens/>
        <w:jc w:val="both"/>
        <w:rPr>
          <w:b/>
          <w:lang w:eastAsia="ar-SA"/>
        </w:rPr>
      </w:pPr>
      <w:r w:rsidRPr="00096651">
        <w:rPr>
          <w:lang w:eastAsia="ar-SA"/>
        </w:rPr>
        <w:tab/>
      </w:r>
      <w:proofErr w:type="gramStart"/>
      <w:r>
        <w:rPr>
          <w:lang w:eastAsia="ar-SA"/>
        </w:rPr>
        <w:t>З</w:t>
      </w:r>
      <w:r w:rsidRPr="00096651">
        <w:rPr>
          <w:lang w:eastAsia="ar-SA"/>
        </w:rPr>
        <w:t>аключение</w:t>
      </w:r>
      <w:r w:rsidRPr="00096651">
        <w:rPr>
          <w:b/>
          <w:lang w:eastAsia="ar-SA"/>
        </w:rPr>
        <w:t xml:space="preserve"> по результатам проведения внешней проверки годового отчета об исполнении бюджета городского округа Вичуга за 2016 год</w:t>
      </w:r>
      <w:r>
        <w:rPr>
          <w:b/>
          <w:lang w:eastAsia="ar-SA"/>
        </w:rPr>
        <w:t xml:space="preserve"> </w:t>
      </w:r>
      <w:r w:rsidRPr="00096651">
        <w:rPr>
          <w:lang w:eastAsia="ar-SA"/>
        </w:rPr>
        <w:t>подготовлено на основании отчета об исполнении бюджета городского округа  Вичуга за 2016 год, представленного Администрацией городского округа Вичуга  в Контрольно-счетную комиссию, сравнительного анализа исполнения бюджета городского округа Вичуга за 2015-2016 годы, а также внешней проверке годовой бюджетной отчетности главных администраторов бюджетных средств.</w:t>
      </w:r>
      <w:proofErr w:type="gramEnd"/>
    </w:p>
    <w:p w:rsidR="00096651" w:rsidRPr="00096651" w:rsidRDefault="00096651" w:rsidP="00096651">
      <w:pPr>
        <w:suppressAutoHyphens/>
        <w:jc w:val="both"/>
        <w:rPr>
          <w:lang w:eastAsia="ar-SA"/>
        </w:rPr>
      </w:pPr>
      <w:r w:rsidRPr="00096651">
        <w:rPr>
          <w:lang w:eastAsia="ar-SA"/>
        </w:rPr>
        <w:tab/>
        <w:t xml:space="preserve">Отчет об исполнении бюджета городского округа Вичуга представлен Администрацией городского округа Вичуга в Контрольно-счетную комиссию в установленные сроки. Данные консолидированного отчета не соответствуют суммарным показателям годовой бюджетной </w:t>
      </w:r>
      <w:proofErr w:type="gramStart"/>
      <w:r w:rsidRPr="00096651">
        <w:rPr>
          <w:lang w:eastAsia="ar-SA"/>
        </w:rPr>
        <w:t>отчетности главных администраторов средств бюджета городского округа</w:t>
      </w:r>
      <w:proofErr w:type="gramEnd"/>
      <w:r w:rsidRPr="00096651">
        <w:rPr>
          <w:lang w:eastAsia="ar-SA"/>
        </w:rPr>
        <w:t xml:space="preserve"> Вичуга, поступившей в КСК по соответствующим кодам бюджетной классификации, ввиду того что двумя главными администраторами бюджетных средств городского округа Вичуга бюджетная отчетность за 2016 год </w:t>
      </w:r>
      <w:proofErr w:type="gramStart"/>
      <w:r w:rsidRPr="00096651">
        <w:rPr>
          <w:lang w:eastAsia="ar-SA"/>
        </w:rPr>
        <w:t>в</w:t>
      </w:r>
      <w:proofErr w:type="gramEnd"/>
      <w:r w:rsidRPr="00096651">
        <w:rPr>
          <w:lang w:eastAsia="ar-SA"/>
        </w:rPr>
        <w:t xml:space="preserve"> Контрольно-счетную комиссию представлена не была.</w:t>
      </w:r>
    </w:p>
    <w:p w:rsidR="00096651" w:rsidRPr="00F7155E" w:rsidRDefault="00096651" w:rsidP="00F7155E">
      <w:pPr>
        <w:suppressAutoHyphens/>
        <w:jc w:val="both"/>
        <w:rPr>
          <w:lang w:eastAsia="ar-SA"/>
        </w:rPr>
      </w:pPr>
      <w:r w:rsidRPr="00096651">
        <w:rPr>
          <w:lang w:eastAsia="ar-SA"/>
        </w:rPr>
        <w:tab/>
        <w:t xml:space="preserve"> </w:t>
      </w:r>
    </w:p>
    <w:p w:rsidR="00096651" w:rsidRPr="00096651" w:rsidRDefault="00096651" w:rsidP="00096651">
      <w:pPr>
        <w:suppressAutoHyphens/>
        <w:jc w:val="center"/>
        <w:rPr>
          <w:b/>
          <w:lang w:eastAsia="ar-SA"/>
        </w:rPr>
      </w:pPr>
      <w:r w:rsidRPr="00096651">
        <w:rPr>
          <w:b/>
          <w:lang w:eastAsia="ar-SA"/>
        </w:rPr>
        <w:t>Итоги проверки годовой отчетности</w:t>
      </w:r>
    </w:p>
    <w:p w:rsidR="00096651" w:rsidRPr="00096651" w:rsidRDefault="00096651" w:rsidP="00096651">
      <w:pPr>
        <w:suppressAutoHyphens/>
        <w:jc w:val="center"/>
        <w:rPr>
          <w:b/>
          <w:lang w:eastAsia="ar-SA"/>
        </w:rPr>
      </w:pPr>
      <w:r w:rsidRPr="00096651">
        <w:rPr>
          <w:b/>
          <w:lang w:eastAsia="ar-SA"/>
        </w:rPr>
        <w:t>главных администраторов бюджетных средств за 2016 год</w:t>
      </w:r>
    </w:p>
    <w:p w:rsidR="00096651" w:rsidRPr="00096651" w:rsidRDefault="00096651" w:rsidP="00096651">
      <w:pPr>
        <w:suppressAutoHyphens/>
        <w:jc w:val="center"/>
        <w:rPr>
          <w:b/>
          <w:lang w:eastAsia="ar-SA"/>
        </w:rPr>
      </w:pPr>
    </w:p>
    <w:p w:rsidR="00096651" w:rsidRPr="00096651" w:rsidRDefault="00096651" w:rsidP="00096651">
      <w:pPr>
        <w:suppressAutoHyphens/>
        <w:jc w:val="both"/>
        <w:rPr>
          <w:lang w:eastAsia="ar-SA"/>
        </w:rPr>
      </w:pPr>
      <w:r w:rsidRPr="00096651">
        <w:rPr>
          <w:b/>
          <w:lang w:eastAsia="ar-SA"/>
        </w:rPr>
        <w:tab/>
      </w:r>
      <w:r w:rsidRPr="00096651">
        <w:rPr>
          <w:lang w:eastAsia="ar-SA"/>
        </w:rPr>
        <w:t>Контрольно-счетной комиссией была проведена камеральная проверка бюджетной отчетности  главных администраторов бюджетных средств, которая включает в себя проверку полноты представленных документов,  полноты заполнения реквизитов представленных форм  отчетности, соблюдение контрольных соотношений, соответствие плановых показателей решению городской Думы городского округа Вичуга о бюджете городского округа Вичуга на истекший финансовый год.</w:t>
      </w:r>
    </w:p>
    <w:p w:rsidR="00096651" w:rsidRPr="00096651" w:rsidRDefault="00096651" w:rsidP="00096651">
      <w:pPr>
        <w:suppressAutoHyphens/>
        <w:jc w:val="both"/>
        <w:rPr>
          <w:lang w:eastAsia="ar-SA"/>
        </w:rPr>
      </w:pPr>
      <w:r w:rsidRPr="00096651">
        <w:rPr>
          <w:b/>
          <w:lang w:eastAsia="ar-SA"/>
        </w:rPr>
        <w:tab/>
      </w:r>
      <w:r w:rsidRPr="00096651">
        <w:rPr>
          <w:lang w:eastAsia="ar-SA"/>
        </w:rPr>
        <w:t xml:space="preserve">Заключения по результатам внешней </w:t>
      </w:r>
      <w:proofErr w:type="gramStart"/>
      <w:r w:rsidRPr="00096651">
        <w:rPr>
          <w:lang w:eastAsia="ar-SA"/>
        </w:rPr>
        <w:t>проверки годовой бюджетной отчетности главных администраторов бюджетных средств городского округа</w:t>
      </w:r>
      <w:proofErr w:type="gramEnd"/>
      <w:r w:rsidRPr="00096651">
        <w:rPr>
          <w:lang w:eastAsia="ar-SA"/>
        </w:rPr>
        <w:t xml:space="preserve"> Вичуга за 2016 год подготовлены в соответствии со статьей 264.4 Бюджетного кодекса Российской Федерации, Положением о бюджетном процессе в городском округе Вичуга, утвержденного решением городской Думы городского округа Вичуга от 25.02.2016г.  №4.</w:t>
      </w:r>
    </w:p>
    <w:p w:rsidR="00096651" w:rsidRPr="00096651" w:rsidRDefault="00096651" w:rsidP="00096651">
      <w:pPr>
        <w:suppressAutoHyphens/>
        <w:jc w:val="both"/>
        <w:rPr>
          <w:lang w:eastAsia="ar-SA"/>
        </w:rPr>
      </w:pPr>
      <w:r w:rsidRPr="00096651">
        <w:rPr>
          <w:lang w:eastAsia="ar-SA"/>
        </w:rPr>
        <w:tab/>
        <w:t>По результатам внешней проверки главных администраторов бюджетных средств городского округа Вичуга выявлено следующее:</w:t>
      </w:r>
    </w:p>
    <w:p w:rsidR="00096651" w:rsidRPr="00096651" w:rsidRDefault="00096651" w:rsidP="00096651">
      <w:pPr>
        <w:suppressAutoHyphens/>
        <w:jc w:val="both"/>
        <w:rPr>
          <w:lang w:eastAsia="ar-SA"/>
        </w:rPr>
      </w:pPr>
    </w:p>
    <w:p w:rsidR="00096651" w:rsidRPr="00096651" w:rsidRDefault="00096651" w:rsidP="00096651">
      <w:pPr>
        <w:suppressAutoHyphens/>
        <w:ind w:left="1068"/>
        <w:jc w:val="both"/>
        <w:rPr>
          <w:lang w:eastAsia="ar-SA"/>
        </w:rPr>
      </w:pPr>
      <w:r w:rsidRPr="00096651">
        <w:rPr>
          <w:lang w:eastAsia="ar-SA"/>
        </w:rPr>
        <w:t xml:space="preserve">1. По данным ф. 0503151 «Отчет по поступлениям и выбытиям» по состоянию на 01.01.2017 в городском округе Вичуга определено 20 главных администраторов бюджетных средств. В Контрольно-счетную комиссию были представлены бюджетные отчетности </w:t>
      </w:r>
      <w:r w:rsidRPr="00096651">
        <w:rPr>
          <w:b/>
          <w:lang w:eastAsia="ar-SA"/>
        </w:rPr>
        <w:t>18-ю</w:t>
      </w:r>
      <w:r w:rsidRPr="00096651">
        <w:rPr>
          <w:lang w:eastAsia="ar-SA"/>
        </w:rPr>
        <w:t xml:space="preserve"> главными администраторами бюджетных  средств, </w:t>
      </w:r>
      <w:r w:rsidRPr="00096651">
        <w:rPr>
          <w:b/>
          <w:lang w:eastAsia="ar-SA"/>
        </w:rPr>
        <w:t>за исключением</w:t>
      </w:r>
      <w:r w:rsidRPr="00096651">
        <w:rPr>
          <w:lang w:eastAsia="ar-SA"/>
        </w:rPr>
        <w:t xml:space="preserve"> Управления Федерального казначейства </w:t>
      </w:r>
      <w:r w:rsidRPr="00096651">
        <w:rPr>
          <w:lang w:eastAsia="ar-SA"/>
        </w:rPr>
        <w:lastRenderedPageBreak/>
        <w:t>по Ивановской области, Административного Департамента Ивановской области.</w:t>
      </w:r>
    </w:p>
    <w:p w:rsidR="00096651" w:rsidRPr="00096651" w:rsidRDefault="00096651" w:rsidP="00096651">
      <w:pPr>
        <w:suppressAutoHyphens/>
        <w:ind w:left="1068"/>
        <w:jc w:val="both"/>
        <w:rPr>
          <w:lang w:eastAsia="ar-SA"/>
        </w:rPr>
      </w:pPr>
      <w:r w:rsidRPr="00096651">
        <w:rPr>
          <w:lang w:eastAsia="ar-SA"/>
        </w:rPr>
        <w:t xml:space="preserve">2. Годовая бюджетная </w:t>
      </w:r>
      <w:r w:rsidRPr="00096651">
        <w:rPr>
          <w:b/>
          <w:lang w:eastAsia="ar-SA"/>
        </w:rPr>
        <w:t>отчетность представлена</w:t>
      </w:r>
      <w:r w:rsidRPr="00096651">
        <w:rPr>
          <w:lang w:eastAsia="ar-SA"/>
        </w:rPr>
        <w:t xml:space="preserve"> главными администраторами бюджетных сре</w:t>
      </w:r>
      <w:proofErr w:type="gramStart"/>
      <w:r w:rsidRPr="00096651">
        <w:rPr>
          <w:lang w:eastAsia="ar-SA"/>
        </w:rPr>
        <w:t xml:space="preserve">дств </w:t>
      </w:r>
      <w:r w:rsidRPr="00096651">
        <w:rPr>
          <w:b/>
          <w:lang w:eastAsia="ar-SA"/>
        </w:rPr>
        <w:t>в ср</w:t>
      </w:r>
      <w:proofErr w:type="gramEnd"/>
      <w:r w:rsidRPr="00096651">
        <w:rPr>
          <w:b/>
          <w:lang w:eastAsia="ar-SA"/>
        </w:rPr>
        <w:t>ок</w:t>
      </w:r>
      <w:r w:rsidRPr="00096651">
        <w:rPr>
          <w:lang w:eastAsia="ar-SA"/>
        </w:rPr>
        <w:t xml:space="preserve">, установленный п.3 ст.21 Положения о бюджетном процессе в городском округе Вичуга, </w:t>
      </w:r>
      <w:r w:rsidRPr="00096651">
        <w:rPr>
          <w:b/>
          <w:lang w:eastAsia="ar-SA"/>
        </w:rPr>
        <w:t>за исключением</w:t>
      </w:r>
      <w:r w:rsidRPr="00096651">
        <w:rPr>
          <w:lang w:eastAsia="ar-SA"/>
        </w:rPr>
        <w:t xml:space="preserve">  Управления Федеральной службы по надзору в сфере природопользования (</w:t>
      </w:r>
      <w:proofErr w:type="spellStart"/>
      <w:r w:rsidRPr="00096651">
        <w:rPr>
          <w:lang w:eastAsia="ar-SA"/>
        </w:rPr>
        <w:t>росприроднадзора</w:t>
      </w:r>
      <w:proofErr w:type="spellEnd"/>
      <w:r w:rsidRPr="00096651">
        <w:rPr>
          <w:lang w:eastAsia="ar-SA"/>
        </w:rPr>
        <w:t>) по Ивановской области, Прокуратуры Ивановской области</w:t>
      </w:r>
    </w:p>
    <w:p w:rsidR="00096651" w:rsidRPr="00096651" w:rsidRDefault="00096651" w:rsidP="00096651">
      <w:pPr>
        <w:suppressAutoHyphens/>
        <w:ind w:left="1068"/>
        <w:jc w:val="both"/>
        <w:rPr>
          <w:lang w:eastAsia="ar-SA"/>
        </w:rPr>
      </w:pPr>
      <w:r w:rsidRPr="00096651">
        <w:rPr>
          <w:lang w:eastAsia="ar-SA"/>
        </w:rPr>
        <w:t xml:space="preserve">3. Состав бюджетной отчетности главных администраторов бюджетных средств в основном </w:t>
      </w:r>
      <w:r w:rsidRPr="00096651">
        <w:rPr>
          <w:b/>
          <w:lang w:eastAsia="ar-SA"/>
        </w:rPr>
        <w:t>соответствует</w:t>
      </w:r>
      <w:r w:rsidRPr="00096651">
        <w:rPr>
          <w:lang w:eastAsia="ar-SA"/>
        </w:rPr>
        <w:t xml:space="preserve"> требованиям п.11.1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N191н (ред. от 31.12.2015г.).  </w:t>
      </w:r>
    </w:p>
    <w:p w:rsidR="00096651" w:rsidRPr="00096651" w:rsidRDefault="00096651" w:rsidP="00096651">
      <w:pPr>
        <w:suppressAutoHyphens/>
        <w:ind w:left="1068"/>
        <w:jc w:val="both"/>
        <w:rPr>
          <w:b/>
          <w:lang w:eastAsia="ar-SA"/>
        </w:rPr>
      </w:pPr>
      <w:r w:rsidRPr="00096651">
        <w:rPr>
          <w:lang w:eastAsia="ar-SA"/>
        </w:rPr>
        <w:t xml:space="preserve">4. </w:t>
      </w:r>
      <w:r w:rsidRPr="00096651">
        <w:rPr>
          <w:b/>
          <w:lang w:eastAsia="ar-SA"/>
        </w:rPr>
        <w:t xml:space="preserve">С нарушением п.4 </w:t>
      </w:r>
      <w:proofErr w:type="gramStart"/>
      <w:r w:rsidRPr="00096651">
        <w:rPr>
          <w:b/>
          <w:lang w:eastAsia="ar-SA"/>
        </w:rPr>
        <w:t>и(</w:t>
      </w:r>
      <w:proofErr w:type="gramEnd"/>
      <w:r w:rsidRPr="00096651">
        <w:rPr>
          <w:b/>
          <w:lang w:eastAsia="ar-SA"/>
        </w:rPr>
        <w:t>или) п.152 Инструкции</w:t>
      </w:r>
      <w:r w:rsidRPr="00096651">
        <w:rPr>
          <w:lang w:eastAsia="ar-SA"/>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N191н (ред. от 31.12.2015г.), </w:t>
      </w:r>
      <w:r w:rsidRPr="00096651">
        <w:rPr>
          <w:b/>
          <w:lang w:eastAsia="ar-SA"/>
        </w:rPr>
        <w:t xml:space="preserve">представили бюджетную отчетность следующие главные администраторы бюджетных средств: </w:t>
      </w:r>
      <w:proofErr w:type="gramStart"/>
      <w:r w:rsidRPr="00096651">
        <w:rPr>
          <w:lang w:eastAsia="ar-SA"/>
        </w:rPr>
        <w:t>Управление</w:t>
      </w:r>
      <w:r w:rsidRPr="00096651">
        <w:rPr>
          <w:b/>
          <w:lang w:eastAsia="ar-SA"/>
        </w:rPr>
        <w:t xml:space="preserve"> </w:t>
      </w:r>
      <w:r w:rsidRPr="00096651">
        <w:rPr>
          <w:lang w:eastAsia="ar-SA"/>
        </w:rPr>
        <w:t>Федеральной службы по надзору в сфере защиты прав потребителей и благополучия человека по Ивановской области, Управление Федеральной налоговой службы России по Ивановской области, Управление Министерства внутренних дел РФ по Ивановской области, Прокуратура по Ивановской области, Управление Федеральной службы судебных приставов по Ивановской области, Департамент сельского хозяйства и продовольствия Ивановской области, Отдел образования администрации городского округа Вичуга.</w:t>
      </w:r>
      <w:proofErr w:type="gramEnd"/>
      <w:r w:rsidRPr="00096651">
        <w:rPr>
          <w:lang w:eastAsia="ar-SA"/>
        </w:rPr>
        <w:t xml:space="preserve"> Плановые показатели, указанные в бюджетной отчетности главных администраторов бюджетных средств </w:t>
      </w:r>
      <w:r w:rsidRPr="00096651">
        <w:rPr>
          <w:b/>
          <w:lang w:eastAsia="ar-SA"/>
        </w:rPr>
        <w:t>в основном</w:t>
      </w:r>
      <w:r w:rsidRPr="00096651">
        <w:rPr>
          <w:lang w:eastAsia="ar-SA"/>
        </w:rPr>
        <w:t xml:space="preserve"> </w:t>
      </w:r>
      <w:r w:rsidRPr="00096651">
        <w:rPr>
          <w:b/>
          <w:lang w:eastAsia="ar-SA"/>
        </w:rPr>
        <w:t>соответствуют</w:t>
      </w:r>
      <w:r w:rsidRPr="00096651">
        <w:rPr>
          <w:lang w:eastAsia="ar-SA"/>
        </w:rPr>
        <w:t xml:space="preserve"> показателям Решения городской Думы городского округа Вичуга от 23.12.2015г.  № 38 (в ред. 29.12.2016г.) «О бюджете городского округа Вичуга на 2016 год». Контрольно-счетная комиссия отмечает, что главным администраторам бюджетных средств городского округа Вичуга: Управление государственного автодорожного надзора по Ивановской области,  Прокуратура Ивановской области, Управление Федеральной службы судебных приставов по Ивановской области  </w:t>
      </w:r>
      <w:r w:rsidRPr="00096651">
        <w:rPr>
          <w:b/>
          <w:lang w:eastAsia="ar-SA"/>
        </w:rPr>
        <w:t>в Решении о бюджете</w:t>
      </w:r>
      <w:r w:rsidRPr="00096651">
        <w:rPr>
          <w:lang w:eastAsia="ar-SA"/>
        </w:rPr>
        <w:t xml:space="preserve"> </w:t>
      </w:r>
      <w:r w:rsidRPr="00096651">
        <w:rPr>
          <w:b/>
          <w:lang w:eastAsia="ar-SA"/>
        </w:rPr>
        <w:t>плановые показатели не предусмотрены</w:t>
      </w:r>
      <w:r w:rsidRPr="00096651">
        <w:rPr>
          <w:lang w:eastAsia="ar-SA"/>
        </w:rPr>
        <w:t xml:space="preserve">. По Управлению Федеральной налоговой службы по Ивановской области, Департаменту природных ресурсов и экологии Ивановской области </w:t>
      </w:r>
      <w:r w:rsidRPr="00096651">
        <w:rPr>
          <w:b/>
          <w:lang w:eastAsia="ar-SA"/>
        </w:rPr>
        <w:t>плановые показатели утверждены Решением о бюджете, но отсутствуют в представленной отчетности.</w:t>
      </w:r>
    </w:p>
    <w:p w:rsidR="00096651" w:rsidRPr="00096651" w:rsidRDefault="00096651" w:rsidP="00096651">
      <w:pPr>
        <w:suppressAutoHyphens/>
        <w:ind w:left="1068"/>
        <w:jc w:val="both"/>
        <w:rPr>
          <w:lang w:eastAsia="ar-SA"/>
        </w:rPr>
      </w:pPr>
      <w:r w:rsidRPr="00096651">
        <w:rPr>
          <w:lang w:eastAsia="ar-SA"/>
        </w:rPr>
        <w:t xml:space="preserve">5. Полнота заполнения реквизитов представленных форм  отчетности, соблюдение  контрольных </w:t>
      </w:r>
      <w:proofErr w:type="gramStart"/>
      <w:r w:rsidRPr="00096651">
        <w:rPr>
          <w:lang w:eastAsia="ar-SA"/>
        </w:rPr>
        <w:t>соотношений отчетности Главных администраторов средств бюджета</w:t>
      </w:r>
      <w:proofErr w:type="gramEnd"/>
      <w:r w:rsidRPr="00096651">
        <w:rPr>
          <w:lang w:eastAsia="ar-SA"/>
        </w:rPr>
        <w:t xml:space="preserve"> </w:t>
      </w:r>
      <w:r w:rsidRPr="00096651">
        <w:rPr>
          <w:b/>
          <w:lang w:eastAsia="ar-SA"/>
        </w:rPr>
        <w:t>соответствуют</w:t>
      </w:r>
      <w:r w:rsidRPr="00096651">
        <w:rPr>
          <w:lang w:eastAsia="ar-SA"/>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N191н (ред. от 31.12.2015г.).  </w:t>
      </w:r>
    </w:p>
    <w:p w:rsidR="00096651" w:rsidRPr="00096651" w:rsidRDefault="00096651" w:rsidP="00096651">
      <w:pPr>
        <w:suppressAutoHyphens/>
        <w:ind w:left="1068"/>
        <w:jc w:val="both"/>
        <w:rPr>
          <w:b/>
          <w:lang w:eastAsia="ar-SA"/>
        </w:rPr>
      </w:pPr>
      <w:r w:rsidRPr="00096651">
        <w:rPr>
          <w:lang w:eastAsia="ar-SA"/>
        </w:rPr>
        <w:t xml:space="preserve">6. Представленная главными администраторами бюджетных средств бюджетная </w:t>
      </w:r>
      <w:r w:rsidRPr="00096651">
        <w:rPr>
          <w:b/>
          <w:lang w:eastAsia="ar-SA"/>
        </w:rPr>
        <w:t>отчетность за 2016 год является достоверной</w:t>
      </w:r>
      <w:r w:rsidRPr="00096651">
        <w:rPr>
          <w:lang w:eastAsia="ar-SA"/>
        </w:rPr>
        <w:t xml:space="preserve">, так как данные по поступлениям и  выбытиям бюджетных средств соответствуют данным формы 0503151 Отчет по поступлениям и выбытиям, предоставленной Управлением Федерального казначейства по Ивановской области на отчетную дату 01.01.2017 года.  </w:t>
      </w:r>
      <w:r w:rsidRPr="00096651">
        <w:rPr>
          <w:b/>
          <w:lang w:eastAsia="ar-SA"/>
        </w:rPr>
        <w:t xml:space="preserve">Выявленные отдельные недочеты (нарушения) в заполнении форм не повлияли на достоверность показателей. </w:t>
      </w:r>
    </w:p>
    <w:p w:rsidR="00096651" w:rsidRPr="00096651" w:rsidRDefault="00096651" w:rsidP="00096651">
      <w:pPr>
        <w:suppressAutoHyphens/>
        <w:jc w:val="both"/>
        <w:rPr>
          <w:b/>
          <w:lang w:eastAsia="ar-SA"/>
        </w:rPr>
      </w:pPr>
    </w:p>
    <w:p w:rsidR="00096651" w:rsidRPr="00096651" w:rsidRDefault="00096651" w:rsidP="00096651">
      <w:pPr>
        <w:suppressAutoHyphens/>
        <w:jc w:val="both"/>
        <w:rPr>
          <w:lang w:eastAsia="ar-SA"/>
        </w:rPr>
      </w:pPr>
    </w:p>
    <w:p w:rsidR="00096651" w:rsidRPr="00096651" w:rsidRDefault="00096651" w:rsidP="00096651">
      <w:pPr>
        <w:suppressAutoHyphens/>
        <w:jc w:val="center"/>
        <w:rPr>
          <w:b/>
          <w:lang w:eastAsia="ar-SA"/>
        </w:rPr>
      </w:pPr>
      <w:r w:rsidRPr="00096651">
        <w:rPr>
          <w:b/>
          <w:lang w:eastAsia="ar-SA"/>
        </w:rPr>
        <w:lastRenderedPageBreak/>
        <w:t>Итоги проверки отчета об исполнении консолидированного бюджета городского округа Вичуга за 2016 год</w:t>
      </w:r>
    </w:p>
    <w:p w:rsidR="00096651" w:rsidRPr="00096651" w:rsidRDefault="00096651" w:rsidP="00096651">
      <w:pPr>
        <w:suppressAutoHyphens/>
        <w:rPr>
          <w:b/>
          <w:lang w:eastAsia="ar-SA"/>
        </w:rPr>
      </w:pPr>
    </w:p>
    <w:p w:rsidR="00096651" w:rsidRPr="00096651" w:rsidRDefault="00096651" w:rsidP="00096651">
      <w:pPr>
        <w:suppressAutoHyphens/>
        <w:jc w:val="both"/>
        <w:rPr>
          <w:lang w:eastAsia="ar-SA"/>
        </w:rPr>
      </w:pPr>
      <w:r w:rsidRPr="00096651">
        <w:rPr>
          <w:b/>
          <w:lang w:eastAsia="ar-SA"/>
        </w:rPr>
        <w:tab/>
      </w:r>
      <w:r w:rsidRPr="00096651">
        <w:rPr>
          <w:lang w:eastAsia="ar-SA"/>
        </w:rPr>
        <w:t xml:space="preserve">Отчет об исполнении консолидированного бюджета финансового отдела администрации городского округа Вичуга за 2016 год представлен в Контрольно-счетную комиссию городского округа Вичуга 17.03.2017 года, что соответствует сроку предоставления годового отчета об исполнении консолидированного бюджета, установленному  пунктом 4 статьи 21 </w:t>
      </w:r>
      <w:r w:rsidR="00883AE2">
        <w:rPr>
          <w:lang w:eastAsia="ar-SA"/>
        </w:rPr>
        <w:t>Положения о бюджетном процессе.</w:t>
      </w:r>
    </w:p>
    <w:p w:rsidR="00096651" w:rsidRPr="00096651" w:rsidRDefault="00096651" w:rsidP="00096651">
      <w:pPr>
        <w:suppressAutoHyphens/>
        <w:ind w:firstLine="708"/>
        <w:jc w:val="both"/>
        <w:rPr>
          <w:lang w:eastAsia="ar-SA"/>
        </w:rPr>
      </w:pPr>
      <w:r w:rsidRPr="00096651">
        <w:rPr>
          <w:lang w:eastAsia="ar-SA"/>
        </w:rPr>
        <w:t>По данным консолидированного отчета за 2016 год утвержденные бюджетные назначения по доходам составили 443 490 207,88рублей, исполнение составило 435 792 587,82</w:t>
      </w:r>
      <w:r w:rsidR="00883AE2">
        <w:rPr>
          <w:lang w:eastAsia="ar-SA"/>
        </w:rPr>
        <w:t xml:space="preserve"> </w:t>
      </w:r>
      <w:r w:rsidRPr="00096651">
        <w:rPr>
          <w:lang w:eastAsia="ar-SA"/>
        </w:rPr>
        <w:t>рублей или 98,3 % исполнения. Причинами отклонения от планового процента исполнения являются:</w:t>
      </w:r>
    </w:p>
    <w:p w:rsidR="00096651" w:rsidRPr="00096651" w:rsidRDefault="00096651" w:rsidP="00096651">
      <w:pPr>
        <w:suppressAutoHyphens/>
        <w:ind w:firstLine="360"/>
        <w:jc w:val="both"/>
        <w:rPr>
          <w:lang w:eastAsia="ar-SA"/>
        </w:rPr>
      </w:pPr>
      <w:r w:rsidRPr="00096651">
        <w:rPr>
          <w:lang w:eastAsia="ar-SA"/>
        </w:rPr>
        <w:t>- наличие недоимки;</w:t>
      </w:r>
    </w:p>
    <w:p w:rsidR="00096651" w:rsidRPr="00096651" w:rsidRDefault="00096651" w:rsidP="00096651">
      <w:pPr>
        <w:suppressAutoHyphens/>
        <w:ind w:firstLine="360"/>
        <w:jc w:val="both"/>
        <w:rPr>
          <w:lang w:eastAsia="ar-SA"/>
        </w:rPr>
      </w:pPr>
      <w:r w:rsidRPr="00096651">
        <w:rPr>
          <w:lang w:eastAsia="ar-SA"/>
        </w:rPr>
        <w:t>- снижение поступления налога на доходы физических лиц;</w:t>
      </w:r>
    </w:p>
    <w:p w:rsidR="00096651" w:rsidRPr="00096651" w:rsidRDefault="00096651" w:rsidP="00096651">
      <w:pPr>
        <w:suppressAutoHyphens/>
        <w:ind w:firstLine="360"/>
        <w:jc w:val="both"/>
        <w:rPr>
          <w:lang w:eastAsia="ar-SA"/>
        </w:rPr>
      </w:pPr>
      <w:r w:rsidRPr="00096651">
        <w:rPr>
          <w:lang w:eastAsia="ar-SA"/>
        </w:rPr>
        <w:t>- и т.д.</w:t>
      </w:r>
    </w:p>
    <w:p w:rsidR="00096651" w:rsidRPr="00096651" w:rsidRDefault="00096651" w:rsidP="00096651">
      <w:pPr>
        <w:suppressAutoHyphens/>
        <w:ind w:firstLine="360"/>
        <w:jc w:val="both"/>
        <w:rPr>
          <w:lang w:eastAsia="ar-SA"/>
        </w:rPr>
      </w:pPr>
      <w:r w:rsidRPr="00096651">
        <w:rPr>
          <w:lang w:eastAsia="ar-SA"/>
        </w:rPr>
        <w:tab/>
        <w:t>Согласно отчетным данным утвержденные бюджетные назначения по расходам за 2016 год составили 458 119 320,21рублей, исполнены на 97,6 % или 447 241 882,68рублей. Остатки неиспользованных бюджетных сре</w:t>
      </w:r>
      <w:proofErr w:type="gramStart"/>
      <w:r w:rsidRPr="00096651">
        <w:rPr>
          <w:lang w:eastAsia="ar-SA"/>
        </w:rPr>
        <w:t>дств в с</w:t>
      </w:r>
      <w:proofErr w:type="gramEnd"/>
      <w:r w:rsidRPr="00096651">
        <w:rPr>
          <w:lang w:eastAsia="ar-SA"/>
        </w:rPr>
        <w:t xml:space="preserve">умме 10 877 437,53рублей сложились за счет неполного использования утвержденных ассигнований из-за отсутствия денежных средств в связи с невыполнением доходной части бюджета. </w:t>
      </w:r>
    </w:p>
    <w:p w:rsidR="00096651" w:rsidRPr="00096651" w:rsidRDefault="00096651" w:rsidP="00086640">
      <w:pPr>
        <w:suppressAutoHyphens/>
        <w:ind w:firstLine="708"/>
        <w:jc w:val="both"/>
        <w:rPr>
          <w:lang w:eastAsia="ar-SA"/>
        </w:rPr>
      </w:pPr>
      <w:r w:rsidRPr="00096651">
        <w:rPr>
          <w:lang w:eastAsia="ar-SA"/>
        </w:rPr>
        <w:t>Согласно форме 0503369 «Сведения по дебиторской и кредиторской задолженности» имеется дебиторская</w:t>
      </w:r>
      <w:r w:rsidR="00086640">
        <w:rPr>
          <w:lang w:eastAsia="ar-SA"/>
        </w:rPr>
        <w:t xml:space="preserve"> и кредиторская </w:t>
      </w:r>
      <w:r w:rsidRPr="00096651">
        <w:rPr>
          <w:lang w:eastAsia="ar-SA"/>
        </w:rPr>
        <w:t xml:space="preserve"> задолженность </w:t>
      </w:r>
    </w:p>
    <w:p w:rsidR="00096651" w:rsidRPr="00096651" w:rsidRDefault="00096651" w:rsidP="00086640">
      <w:pPr>
        <w:suppressAutoHyphens/>
        <w:ind w:firstLine="360"/>
        <w:jc w:val="both"/>
        <w:rPr>
          <w:rFonts w:eastAsia="Calibri"/>
          <w:lang w:eastAsia="en-US"/>
        </w:rPr>
      </w:pPr>
      <w:r w:rsidRPr="00096651">
        <w:rPr>
          <w:lang w:eastAsia="ar-SA"/>
        </w:rPr>
        <w:tab/>
        <w:t>Кредиторская задолженность по бюджету</w:t>
      </w:r>
      <w:r w:rsidR="00086640">
        <w:rPr>
          <w:lang w:eastAsia="ar-SA"/>
        </w:rPr>
        <w:t xml:space="preserve"> составила 25 776 144,29рублей.    (11 660 000,0 руб. банковский кредит на покрытие дефицита и 14 116 144,29 </w:t>
      </w:r>
      <w:proofErr w:type="spellStart"/>
      <w:r w:rsidR="00086640">
        <w:rPr>
          <w:lang w:eastAsia="ar-SA"/>
        </w:rPr>
        <w:t>руб</w:t>
      </w:r>
      <w:proofErr w:type="spellEnd"/>
      <w:r w:rsidR="00086640">
        <w:rPr>
          <w:lang w:eastAsia="ar-SA"/>
        </w:rPr>
        <w:t xml:space="preserve"> кредиторская задолженность) </w:t>
      </w:r>
    </w:p>
    <w:p w:rsidR="00096651" w:rsidRPr="00096651" w:rsidRDefault="00096651" w:rsidP="00096651">
      <w:pPr>
        <w:ind w:firstLine="708"/>
        <w:jc w:val="both"/>
        <w:rPr>
          <w:rFonts w:eastAsia="Calibri"/>
          <w:b/>
          <w:lang w:eastAsia="en-US"/>
        </w:rPr>
      </w:pPr>
      <w:r w:rsidRPr="00096651">
        <w:rPr>
          <w:rFonts w:eastAsia="Calibri"/>
          <w:lang w:eastAsia="en-US"/>
        </w:rPr>
        <w:t xml:space="preserve">Данные формы 0503151 «Отчет по поступлениям и выбытиям», предоставленной Управлением Федерального казначейства по Ивановской области по состоянию на 01.01.2017 год  </w:t>
      </w:r>
      <w:r w:rsidRPr="00096651">
        <w:rPr>
          <w:rFonts w:eastAsia="Calibri"/>
          <w:b/>
          <w:lang w:eastAsia="en-US"/>
        </w:rPr>
        <w:t>соответствуют</w:t>
      </w:r>
      <w:r w:rsidRPr="00096651">
        <w:rPr>
          <w:rFonts w:eastAsia="Calibri"/>
          <w:lang w:eastAsia="en-US"/>
        </w:rPr>
        <w:t xml:space="preserve"> данным формы 0503323 «Консолидированный отчет о движении денежных средств» предоставленной финансовым отделом на 01.01.2017, </w:t>
      </w:r>
      <w:r w:rsidRPr="00096651">
        <w:rPr>
          <w:rFonts w:eastAsia="Calibri"/>
          <w:b/>
          <w:lang w:eastAsia="en-US"/>
        </w:rPr>
        <w:t>что позволяет сделать вывод о достоверности данных консолидированной отчетности.</w:t>
      </w:r>
    </w:p>
    <w:p w:rsidR="00096651" w:rsidRPr="00096651" w:rsidRDefault="00096651" w:rsidP="00096651">
      <w:pPr>
        <w:spacing w:line="276" w:lineRule="auto"/>
        <w:ind w:firstLine="708"/>
        <w:jc w:val="both"/>
        <w:rPr>
          <w:rFonts w:eastAsia="Calibri"/>
          <w:sz w:val="28"/>
          <w:szCs w:val="28"/>
          <w:lang w:eastAsia="en-US"/>
        </w:rPr>
      </w:pPr>
    </w:p>
    <w:p w:rsidR="00096651" w:rsidRPr="00096651" w:rsidRDefault="00096651" w:rsidP="00096651">
      <w:pPr>
        <w:suppressAutoHyphens/>
        <w:jc w:val="center"/>
        <w:rPr>
          <w:b/>
          <w:lang w:eastAsia="ar-SA"/>
        </w:rPr>
      </w:pPr>
      <w:r w:rsidRPr="00096651">
        <w:rPr>
          <w:b/>
          <w:lang w:eastAsia="ar-SA"/>
        </w:rPr>
        <w:t xml:space="preserve">Организация бюджетного процесса </w:t>
      </w:r>
    </w:p>
    <w:p w:rsidR="00096651" w:rsidRPr="00096651" w:rsidRDefault="00096651" w:rsidP="00096651">
      <w:pPr>
        <w:suppressAutoHyphens/>
        <w:jc w:val="center"/>
        <w:rPr>
          <w:b/>
          <w:lang w:eastAsia="ar-SA"/>
        </w:rPr>
      </w:pPr>
      <w:r w:rsidRPr="00096651">
        <w:rPr>
          <w:b/>
          <w:lang w:eastAsia="ar-SA"/>
        </w:rPr>
        <w:t>в городском округе Вичуга в 2016 году</w:t>
      </w:r>
    </w:p>
    <w:p w:rsidR="00096651" w:rsidRPr="00096651" w:rsidRDefault="00096651" w:rsidP="00096651">
      <w:pPr>
        <w:suppressAutoHyphens/>
        <w:jc w:val="center"/>
        <w:rPr>
          <w:b/>
          <w:lang w:eastAsia="ar-SA"/>
        </w:rPr>
      </w:pPr>
    </w:p>
    <w:p w:rsidR="00096651" w:rsidRPr="00096651" w:rsidRDefault="00096651" w:rsidP="00096651">
      <w:pPr>
        <w:suppressAutoHyphens/>
        <w:ind w:firstLine="708"/>
        <w:jc w:val="both"/>
        <w:rPr>
          <w:lang w:eastAsia="ar-SA"/>
        </w:rPr>
      </w:pPr>
      <w:r w:rsidRPr="00096651">
        <w:rPr>
          <w:lang w:eastAsia="ar-SA"/>
        </w:rPr>
        <w:t>Бюджетный процесс в городском округе Вичуга основывался на  положениях Бюджетного Кодекса Российской Федерации, Устава городского округа Вичуга, а также Положения о бюджетном процессе в городском округе Вичуга, утвержденного решением городской Думы городского округа Вичуга  от 30.04.2015 № 24.</w:t>
      </w:r>
    </w:p>
    <w:p w:rsidR="00096651" w:rsidRPr="00096651" w:rsidRDefault="00096651" w:rsidP="00096651">
      <w:pPr>
        <w:suppressAutoHyphens/>
        <w:ind w:firstLine="708"/>
        <w:jc w:val="both"/>
        <w:rPr>
          <w:lang w:eastAsia="ar-SA"/>
        </w:rPr>
      </w:pPr>
      <w:r w:rsidRPr="00096651">
        <w:rPr>
          <w:lang w:eastAsia="ar-SA"/>
        </w:rPr>
        <w:t xml:space="preserve">Комиссией при администрации городского округа Вичуга по бюджетным проектировкам на очередной финансовый год и плановый период   утверждены  основные направления бюджетной и налоговой политики в городском округе Вичуга на 2016 год  </w:t>
      </w:r>
    </w:p>
    <w:p w:rsidR="00096651" w:rsidRPr="00096651" w:rsidRDefault="00096651" w:rsidP="00096651">
      <w:pPr>
        <w:suppressAutoHyphens/>
        <w:jc w:val="both"/>
        <w:rPr>
          <w:lang w:eastAsia="ar-SA"/>
        </w:rPr>
      </w:pPr>
      <w:r w:rsidRPr="00096651">
        <w:rPr>
          <w:lang w:eastAsia="ar-SA"/>
        </w:rPr>
        <w:tab/>
        <w:t xml:space="preserve">Основной целью бюджетной политики остается  обеспечение сбалансированности и устойчивости бюджетной системы </w:t>
      </w:r>
      <w:proofErr w:type="spellStart"/>
      <w:r w:rsidRPr="00096651">
        <w:rPr>
          <w:lang w:eastAsia="ar-SA"/>
        </w:rPr>
        <w:t>г.о</w:t>
      </w:r>
      <w:proofErr w:type="spellEnd"/>
      <w:r w:rsidRPr="00096651">
        <w:rPr>
          <w:lang w:eastAsia="ar-SA"/>
        </w:rPr>
        <w:t xml:space="preserve">. Вичуга. Целью налоговой политики  является увеличение доходной базы городского округа Вичуга для обеспечения сбалансированности бюджетной системы. </w:t>
      </w:r>
    </w:p>
    <w:p w:rsidR="00096651" w:rsidRPr="00096651" w:rsidRDefault="00096651" w:rsidP="00096651">
      <w:pPr>
        <w:suppressAutoHyphens/>
        <w:ind w:firstLine="708"/>
        <w:jc w:val="both"/>
        <w:rPr>
          <w:lang w:eastAsia="ar-SA"/>
        </w:rPr>
      </w:pPr>
      <w:r w:rsidRPr="00096651">
        <w:rPr>
          <w:lang w:eastAsia="ar-SA"/>
        </w:rPr>
        <w:t>Утверждение бюджета городского округа Вичуга на 2016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БК РФ.</w:t>
      </w:r>
    </w:p>
    <w:p w:rsidR="00096651" w:rsidRPr="00096651" w:rsidRDefault="00096651" w:rsidP="00096651">
      <w:pPr>
        <w:suppressAutoHyphens/>
        <w:ind w:firstLine="708"/>
        <w:jc w:val="both"/>
        <w:rPr>
          <w:lang w:eastAsia="ar-SA"/>
        </w:rPr>
      </w:pPr>
      <w:r w:rsidRPr="00096651">
        <w:rPr>
          <w:lang w:eastAsia="ar-SA"/>
        </w:rPr>
        <w:t xml:space="preserve">Решением городской Думы городского округа Вичуга от  23.12.2015 года  №38 «О бюджете городского округа Вичуга на 2016 год» бюджет был утвержден по доходам в сумме  432 096 798,59рублей, по расходам - 444 507 713,59 рублей. Таким образом, </w:t>
      </w:r>
      <w:r w:rsidRPr="00096651">
        <w:rPr>
          <w:lang w:eastAsia="ar-SA"/>
        </w:rPr>
        <w:lastRenderedPageBreak/>
        <w:t>дефицит бюджета соответствовал установленным Бюджетным Кодексом Российской Федерации нормам и составил 12 410 915,0рублей.</w:t>
      </w:r>
    </w:p>
    <w:p w:rsidR="00096651" w:rsidRPr="00096651" w:rsidRDefault="00096651" w:rsidP="00096651">
      <w:pPr>
        <w:suppressAutoHyphens/>
        <w:ind w:firstLine="708"/>
        <w:jc w:val="both"/>
        <w:rPr>
          <w:lang w:eastAsia="ar-SA"/>
        </w:rPr>
      </w:pPr>
      <w:r w:rsidRPr="00096651">
        <w:rPr>
          <w:lang w:eastAsia="ar-SA"/>
        </w:rPr>
        <w:t xml:space="preserve">В течение 2016 года в решение городской Думы городского округа Вичуга от  23.12.2015года №38 вносились изменения и дополнения 12 раз. Последняя корректировка параметров бюджета принята 29 декабря 2016 года. </w:t>
      </w:r>
    </w:p>
    <w:p w:rsidR="00096651" w:rsidRPr="00096651" w:rsidRDefault="00F7155E" w:rsidP="00096651">
      <w:pPr>
        <w:suppressAutoHyphens/>
        <w:jc w:val="both"/>
        <w:rPr>
          <w:lang w:eastAsia="ar-SA"/>
        </w:rPr>
      </w:pPr>
      <w:r>
        <w:rPr>
          <w:lang w:eastAsia="ar-SA"/>
        </w:rPr>
        <w:tab/>
      </w:r>
      <w:proofErr w:type="gramStart"/>
      <w:r w:rsidR="00096651" w:rsidRPr="00096651">
        <w:rPr>
          <w:lang w:eastAsia="ar-SA"/>
        </w:rPr>
        <w:t xml:space="preserve">В результате внесения изменений и дополнений в сводную бюджетную роспись (бюджет) на 2016 год доходная часть бюджета   по сравнению с первоначальными значениями </w:t>
      </w:r>
      <w:r w:rsidR="00096651" w:rsidRPr="00096651">
        <w:rPr>
          <w:b/>
          <w:lang w:eastAsia="ar-SA"/>
        </w:rPr>
        <w:t>увеличилась за счет безвозмездных поступлений</w:t>
      </w:r>
      <w:r w:rsidR="00096651" w:rsidRPr="00096651">
        <w:rPr>
          <w:lang w:eastAsia="ar-SA"/>
        </w:rPr>
        <w:t xml:space="preserve"> и </w:t>
      </w:r>
      <w:r w:rsidR="00096651" w:rsidRPr="00096651">
        <w:rPr>
          <w:b/>
          <w:lang w:eastAsia="ar-SA"/>
        </w:rPr>
        <w:t>собственных доходов</w:t>
      </w:r>
      <w:r w:rsidR="00096651" w:rsidRPr="00096651">
        <w:rPr>
          <w:lang w:eastAsia="ar-SA"/>
        </w:rPr>
        <w:t xml:space="preserve"> на </w:t>
      </w:r>
      <w:r w:rsidR="00096651" w:rsidRPr="00096651">
        <w:rPr>
          <w:b/>
          <w:lang w:eastAsia="ar-SA"/>
        </w:rPr>
        <w:t>11 393 409,29</w:t>
      </w:r>
      <w:r w:rsidR="00096651" w:rsidRPr="00096651">
        <w:rPr>
          <w:lang w:eastAsia="ar-SA"/>
        </w:rPr>
        <w:t xml:space="preserve"> рублей (или 2,6 %) и  составила </w:t>
      </w:r>
      <w:r w:rsidR="00096651" w:rsidRPr="00096651">
        <w:rPr>
          <w:b/>
          <w:lang w:eastAsia="ar-SA"/>
        </w:rPr>
        <w:t>443 490 207,88</w:t>
      </w:r>
      <w:r w:rsidR="00096651" w:rsidRPr="00096651">
        <w:rPr>
          <w:lang w:eastAsia="ar-SA"/>
        </w:rPr>
        <w:t xml:space="preserve">рублей,  расходная часть  также была увеличена  </w:t>
      </w:r>
      <w:r w:rsidR="00096651" w:rsidRPr="00096651">
        <w:rPr>
          <w:b/>
          <w:lang w:eastAsia="ar-SA"/>
        </w:rPr>
        <w:t>на 13 611 606,62</w:t>
      </w:r>
      <w:r w:rsidR="00096651" w:rsidRPr="00096651">
        <w:rPr>
          <w:lang w:eastAsia="ar-SA"/>
        </w:rPr>
        <w:t xml:space="preserve">рублей (или 3,1 %) и составила </w:t>
      </w:r>
      <w:r w:rsidR="00096651" w:rsidRPr="00096651">
        <w:rPr>
          <w:b/>
          <w:lang w:eastAsia="ar-SA"/>
        </w:rPr>
        <w:t>458 119 320,21</w:t>
      </w:r>
      <w:proofErr w:type="gramEnd"/>
      <w:r w:rsidR="00096651" w:rsidRPr="00096651">
        <w:rPr>
          <w:lang w:eastAsia="ar-SA"/>
        </w:rPr>
        <w:t xml:space="preserve">рублей. </w:t>
      </w:r>
    </w:p>
    <w:p w:rsidR="00096651" w:rsidRPr="00096651" w:rsidRDefault="00096651" w:rsidP="00096651">
      <w:pPr>
        <w:suppressAutoHyphens/>
        <w:jc w:val="both"/>
        <w:rPr>
          <w:lang w:eastAsia="ar-SA"/>
        </w:rPr>
      </w:pPr>
      <w:r w:rsidRPr="00096651">
        <w:rPr>
          <w:lang w:eastAsia="ar-SA"/>
        </w:rPr>
        <w:tab/>
        <w:t xml:space="preserve"> Согласно представленному отчету об исполнении бюджета за 2016 год доходная часть бюджета исполнена в сумме 435 792 587,82 рублей или на 98,3% от плана (443 490 207,88 руб.). Расходные обязательства бюджета исполнены в сумме  447 241 882,68рублей или 97.6 % от объема годовых назначений (458 119 320,21руб.).</w:t>
      </w:r>
    </w:p>
    <w:p w:rsidR="00096651" w:rsidRPr="00096651" w:rsidRDefault="00096651" w:rsidP="00096651">
      <w:pPr>
        <w:suppressAutoHyphens/>
        <w:ind w:firstLine="708"/>
        <w:jc w:val="both"/>
        <w:rPr>
          <w:lang w:eastAsia="ar-SA"/>
        </w:rPr>
      </w:pPr>
      <w:r w:rsidRPr="00096651">
        <w:rPr>
          <w:lang w:eastAsia="ar-SA"/>
        </w:rPr>
        <w:t>В результате исполнения бюджета план  по доходам  был не довыполнен на 7 697 620,06рублей, план по расходам  - на  10 877 437,53 рублей. В итоге превышение расходов над доходами составило 11 449 294,86 рублей.  Остаток средств на едином счете бюджета городского округа Вичуга составил  3 176 798,0 рублей.</w:t>
      </w:r>
    </w:p>
    <w:p w:rsidR="00096651" w:rsidRPr="00096651" w:rsidRDefault="00096651" w:rsidP="00096651">
      <w:pPr>
        <w:suppressAutoHyphens/>
        <w:ind w:firstLine="708"/>
        <w:jc w:val="both"/>
        <w:rPr>
          <w:lang w:eastAsia="ar-SA"/>
        </w:rPr>
      </w:pPr>
      <w:r w:rsidRPr="00096651">
        <w:rPr>
          <w:lang w:eastAsia="ar-SA"/>
        </w:rPr>
        <w:t xml:space="preserve"> По состоянию на 01.01.2017г. остатков средств на лицевых счетах участников бюджетного процесса не было. На 01.01.2017 года сложилась кредиторская задолженность  в сумме 25 776 144,29руб.</w:t>
      </w:r>
    </w:p>
    <w:p w:rsidR="00096651" w:rsidRPr="00096651" w:rsidRDefault="00096651" w:rsidP="00096651">
      <w:pPr>
        <w:suppressAutoHyphens/>
        <w:ind w:firstLine="708"/>
        <w:jc w:val="both"/>
        <w:rPr>
          <w:lang w:eastAsia="ar-SA"/>
        </w:rPr>
      </w:pPr>
      <w:r w:rsidRPr="00096651">
        <w:rPr>
          <w:lang w:eastAsia="ar-SA"/>
        </w:rPr>
        <w:t>Общий объем финансирования в 2016 году по муниципальным программам составил 423 697 883,37 рублей, что составляет 97,5% от общего объема расходов бюджета городского округа Вичуга на 2016 год.</w:t>
      </w:r>
    </w:p>
    <w:p w:rsidR="00096651" w:rsidRPr="00096651" w:rsidRDefault="00096651" w:rsidP="00096651">
      <w:pPr>
        <w:suppressAutoHyphens/>
        <w:ind w:firstLine="708"/>
        <w:jc w:val="both"/>
        <w:rPr>
          <w:lang w:eastAsia="ar-SA"/>
        </w:rPr>
      </w:pPr>
      <w:r w:rsidRPr="00096651">
        <w:rPr>
          <w:lang w:eastAsia="ar-SA"/>
        </w:rPr>
        <w:t>Бюджет  исполнялся через открытый в отделении федерального казначейства  по городскому округу Вичуга лицевой счет.</w:t>
      </w:r>
    </w:p>
    <w:p w:rsidR="00096651" w:rsidRPr="00096651" w:rsidRDefault="00096651" w:rsidP="00096651">
      <w:pPr>
        <w:suppressAutoHyphens/>
        <w:ind w:firstLine="708"/>
        <w:jc w:val="both"/>
        <w:rPr>
          <w:lang w:eastAsia="ar-SA"/>
        </w:rPr>
      </w:pPr>
      <w:r w:rsidRPr="00096651">
        <w:rPr>
          <w:lang w:eastAsia="ar-SA"/>
        </w:rPr>
        <w:t>Исполнение бюджета осуществлялось на основе бюджетной росписи по расходам бюджета, в порядке, установленном ст. 217, 219 Бюджетного Кодекса Российской Федерации.</w:t>
      </w:r>
    </w:p>
    <w:p w:rsidR="00096651" w:rsidRPr="00096651" w:rsidRDefault="00096651" w:rsidP="00096651">
      <w:pPr>
        <w:suppressAutoHyphens/>
        <w:ind w:firstLine="708"/>
        <w:jc w:val="both"/>
        <w:rPr>
          <w:lang w:eastAsia="ar-SA"/>
        </w:rPr>
      </w:pPr>
      <w:r w:rsidRPr="00096651">
        <w:rPr>
          <w:lang w:eastAsia="ar-SA"/>
        </w:rPr>
        <w:t xml:space="preserve">Анализ бюджетного процесса показал, что бюджетная политика в целом отвечает </w:t>
      </w:r>
    </w:p>
    <w:p w:rsidR="00096651" w:rsidRPr="00096651" w:rsidRDefault="00096651" w:rsidP="00096651">
      <w:pPr>
        <w:suppressAutoHyphens/>
        <w:jc w:val="both"/>
        <w:rPr>
          <w:lang w:eastAsia="ar-SA"/>
        </w:rPr>
      </w:pPr>
      <w:r w:rsidRPr="00096651">
        <w:rPr>
          <w:lang w:eastAsia="ar-SA"/>
        </w:rPr>
        <w:t xml:space="preserve">приоритетным направлениям бюджетной и налоговой политики, утвержденным Комиссией при администрации городского округа Вичуга по бюджетным проектировкам на очередной финансовый год. </w:t>
      </w:r>
    </w:p>
    <w:p w:rsidR="00096651" w:rsidRPr="00096651" w:rsidRDefault="00096651" w:rsidP="00096651">
      <w:pPr>
        <w:suppressAutoHyphens/>
        <w:jc w:val="both"/>
        <w:rPr>
          <w:lang w:eastAsia="ar-SA"/>
        </w:rPr>
      </w:pPr>
      <w:r w:rsidRPr="00096651">
        <w:rPr>
          <w:lang w:eastAsia="ar-SA"/>
        </w:rPr>
        <w:t xml:space="preserve"> </w:t>
      </w:r>
    </w:p>
    <w:p w:rsidR="00096651" w:rsidRPr="00096651" w:rsidRDefault="00096651" w:rsidP="00096651">
      <w:pPr>
        <w:jc w:val="center"/>
        <w:rPr>
          <w:rFonts w:eastAsia="Calibri"/>
          <w:b/>
          <w:lang w:eastAsia="en-US"/>
        </w:rPr>
      </w:pPr>
      <w:r w:rsidRPr="00096651">
        <w:rPr>
          <w:rFonts w:eastAsia="Calibri"/>
          <w:b/>
          <w:lang w:eastAsia="en-US"/>
        </w:rPr>
        <w:t>Исполнение доходной части бюджета городского округа Вичуга за 2016 год</w:t>
      </w:r>
    </w:p>
    <w:p w:rsidR="00096651" w:rsidRPr="00096651" w:rsidRDefault="00096651" w:rsidP="00096651">
      <w:pPr>
        <w:spacing w:line="276" w:lineRule="auto"/>
        <w:rPr>
          <w:rFonts w:eastAsia="Calibri"/>
          <w:b/>
          <w:i/>
          <w:lang w:eastAsia="en-US"/>
        </w:rPr>
      </w:pPr>
    </w:p>
    <w:p w:rsidR="00096651" w:rsidRPr="00096651" w:rsidRDefault="00096651" w:rsidP="00096651">
      <w:pPr>
        <w:jc w:val="both"/>
        <w:rPr>
          <w:rFonts w:eastAsia="Calibri"/>
          <w:lang w:eastAsia="en-US"/>
        </w:rPr>
      </w:pPr>
      <w:r w:rsidRPr="00096651">
        <w:rPr>
          <w:rFonts w:eastAsia="Calibri"/>
          <w:lang w:eastAsia="en-US"/>
        </w:rPr>
        <w:tab/>
      </w:r>
      <w:proofErr w:type="gramStart"/>
      <w:r w:rsidRPr="00096651">
        <w:rPr>
          <w:rFonts w:eastAsia="Calibri"/>
          <w:lang w:eastAsia="en-US"/>
        </w:rPr>
        <w:t xml:space="preserve">Доходная часть бюджета городского округа Вичуга  в 2016 году исполнена в сумме 435 792 587,82рублей. или на 98,3 % от утвержденного плана, сумма недовыполнения 7 697 620,06 рублей., в том числе налоговые и неналоговые доходы составили -  123 350 771,94 рублей  (94,1% от плановых назначений), сумма недовыполнения плана составила 7 685 244,15 рублей. </w:t>
      </w:r>
      <w:proofErr w:type="gramEnd"/>
    </w:p>
    <w:p w:rsidR="00096651" w:rsidRPr="00096651" w:rsidRDefault="00086640" w:rsidP="00096651">
      <w:pPr>
        <w:ind w:firstLine="709"/>
        <w:jc w:val="both"/>
        <w:rPr>
          <w:rFonts w:eastAsia="Calibri"/>
          <w:lang w:eastAsia="en-US"/>
        </w:rPr>
      </w:pPr>
      <w:r>
        <w:rPr>
          <w:rFonts w:eastAsia="Calibri"/>
          <w:lang w:eastAsia="en-US"/>
        </w:rPr>
        <w:t>По результатам анализа д</w:t>
      </w:r>
      <w:r w:rsidR="00096651" w:rsidRPr="00096651">
        <w:rPr>
          <w:rFonts w:eastAsia="Calibri"/>
          <w:lang w:eastAsia="en-US"/>
        </w:rPr>
        <w:t>оходы бюджета городского округа Вичуга по отношению к исполнению за 2015 год снизились  на 29786 ,0тыс. руб., что составило 6,4% по отношению к доходам 2015 года.</w:t>
      </w:r>
    </w:p>
    <w:p w:rsidR="00096651" w:rsidRPr="00096651" w:rsidRDefault="00096651" w:rsidP="00096651">
      <w:pPr>
        <w:ind w:firstLine="708"/>
        <w:jc w:val="both"/>
        <w:rPr>
          <w:rFonts w:eastAsia="Calibri"/>
          <w:lang w:eastAsia="en-US"/>
        </w:rPr>
      </w:pPr>
      <w:r w:rsidRPr="00096651">
        <w:rPr>
          <w:rFonts w:eastAsia="Calibri"/>
          <w:lang w:eastAsia="en-US"/>
        </w:rPr>
        <w:t>Анализируя показатели по отношению к 2015 году можно отметить снижение:</w:t>
      </w:r>
    </w:p>
    <w:p w:rsidR="00096651" w:rsidRPr="00096651" w:rsidRDefault="00096651" w:rsidP="00096651">
      <w:pPr>
        <w:ind w:firstLine="708"/>
        <w:jc w:val="both"/>
        <w:rPr>
          <w:rFonts w:eastAsia="Calibri"/>
          <w:lang w:eastAsia="en-US"/>
        </w:rPr>
      </w:pPr>
      <w:r w:rsidRPr="00096651">
        <w:rPr>
          <w:rFonts w:eastAsia="Calibri"/>
          <w:lang w:eastAsia="en-US"/>
        </w:rPr>
        <w:t>-  налог на совокупный доход на 4.7%;</w:t>
      </w:r>
    </w:p>
    <w:p w:rsidR="00096651" w:rsidRPr="00096651" w:rsidRDefault="00096651" w:rsidP="00096651">
      <w:pPr>
        <w:ind w:firstLine="708"/>
        <w:jc w:val="both"/>
        <w:rPr>
          <w:rFonts w:eastAsia="Calibri"/>
          <w:lang w:eastAsia="en-US"/>
        </w:rPr>
      </w:pPr>
      <w:r w:rsidRPr="00096651">
        <w:rPr>
          <w:rFonts w:eastAsia="Calibri"/>
          <w:lang w:eastAsia="en-US"/>
        </w:rPr>
        <w:t>- доходы, получаемые в виде арендной платы за земельные участки на 8.6%;</w:t>
      </w:r>
    </w:p>
    <w:p w:rsidR="00096651" w:rsidRPr="00096651" w:rsidRDefault="00096651" w:rsidP="00096651">
      <w:pPr>
        <w:ind w:firstLine="708"/>
        <w:jc w:val="both"/>
        <w:rPr>
          <w:rFonts w:eastAsia="Calibri"/>
          <w:lang w:eastAsia="en-US"/>
        </w:rPr>
      </w:pPr>
      <w:r w:rsidRPr="00096651">
        <w:rPr>
          <w:rFonts w:eastAsia="Calibri"/>
          <w:lang w:eastAsia="en-US"/>
        </w:rPr>
        <w:t>- платежи при пользовании природными ресурсами на 26,5%;</w:t>
      </w:r>
    </w:p>
    <w:p w:rsidR="00096651" w:rsidRPr="00096651" w:rsidRDefault="00096651" w:rsidP="00096651">
      <w:pPr>
        <w:ind w:firstLine="708"/>
        <w:jc w:val="both"/>
        <w:rPr>
          <w:rFonts w:eastAsia="Calibri"/>
          <w:lang w:eastAsia="en-US"/>
        </w:rPr>
      </w:pPr>
      <w:r w:rsidRPr="00096651">
        <w:rPr>
          <w:rFonts w:eastAsia="Calibri"/>
          <w:lang w:eastAsia="en-US"/>
        </w:rPr>
        <w:t>- доходы о продажи материальных и нематериальных активов на 40,1 %;</w:t>
      </w:r>
    </w:p>
    <w:p w:rsidR="00096651" w:rsidRPr="00096651" w:rsidRDefault="00096651" w:rsidP="00096651">
      <w:pPr>
        <w:ind w:firstLine="708"/>
        <w:jc w:val="both"/>
        <w:rPr>
          <w:rFonts w:eastAsia="Calibri"/>
          <w:lang w:eastAsia="en-US"/>
        </w:rPr>
      </w:pPr>
      <w:r w:rsidRPr="00096651">
        <w:rPr>
          <w:rFonts w:eastAsia="Calibri"/>
          <w:lang w:eastAsia="en-US"/>
        </w:rPr>
        <w:t xml:space="preserve">- доходы от реализации иного имущества, находящегося в собственности городских округов на 32,4%; </w:t>
      </w:r>
    </w:p>
    <w:p w:rsidR="00096651" w:rsidRPr="00096651" w:rsidRDefault="00096651" w:rsidP="00096651">
      <w:pPr>
        <w:ind w:firstLine="708"/>
        <w:jc w:val="both"/>
        <w:rPr>
          <w:rFonts w:eastAsia="Calibri"/>
          <w:lang w:eastAsia="en-US"/>
        </w:rPr>
      </w:pPr>
      <w:r w:rsidRPr="00096651">
        <w:rPr>
          <w:rFonts w:eastAsia="Calibri"/>
          <w:lang w:eastAsia="en-US"/>
        </w:rPr>
        <w:t>- доходы от продажи земельных участков на 66,2%;</w:t>
      </w:r>
    </w:p>
    <w:p w:rsidR="00096651" w:rsidRPr="00096651" w:rsidRDefault="00096651" w:rsidP="00096651">
      <w:pPr>
        <w:ind w:firstLine="708"/>
        <w:jc w:val="both"/>
        <w:rPr>
          <w:rFonts w:eastAsia="Calibri"/>
          <w:lang w:eastAsia="en-US"/>
        </w:rPr>
      </w:pPr>
      <w:r w:rsidRPr="00096651">
        <w:rPr>
          <w:rFonts w:eastAsia="Calibri"/>
          <w:lang w:eastAsia="en-US"/>
        </w:rPr>
        <w:lastRenderedPageBreak/>
        <w:t>- штрафы, санкции, возмещение ущерба на 12,6%</w:t>
      </w:r>
    </w:p>
    <w:p w:rsidR="00096651" w:rsidRPr="00096651" w:rsidRDefault="00096651" w:rsidP="00096651">
      <w:pPr>
        <w:ind w:firstLine="708"/>
        <w:jc w:val="both"/>
        <w:rPr>
          <w:rFonts w:eastAsia="Calibri"/>
          <w:lang w:eastAsia="en-US"/>
        </w:rPr>
      </w:pPr>
      <w:r w:rsidRPr="00096651">
        <w:rPr>
          <w:rFonts w:eastAsia="Calibri"/>
          <w:lang w:eastAsia="en-US"/>
        </w:rPr>
        <w:t>- безвозмездные поступления на 7,9%;</w:t>
      </w:r>
    </w:p>
    <w:p w:rsidR="00096651" w:rsidRPr="00096651" w:rsidRDefault="00096651" w:rsidP="00096651">
      <w:pPr>
        <w:ind w:firstLine="708"/>
        <w:jc w:val="both"/>
        <w:rPr>
          <w:rFonts w:eastAsia="Calibri"/>
          <w:lang w:eastAsia="en-US"/>
        </w:rPr>
      </w:pPr>
      <w:r w:rsidRPr="00096651">
        <w:rPr>
          <w:rFonts w:eastAsia="Calibri"/>
          <w:lang w:eastAsia="en-US"/>
        </w:rPr>
        <w:t>- субсидии бюджетам субъектов РФ и муниципальных образований на 88.4 %;</w:t>
      </w:r>
    </w:p>
    <w:p w:rsidR="00096651" w:rsidRPr="00096651" w:rsidRDefault="00096651" w:rsidP="00096651">
      <w:pPr>
        <w:ind w:firstLine="708"/>
        <w:jc w:val="both"/>
        <w:rPr>
          <w:rFonts w:eastAsia="Calibri"/>
          <w:lang w:eastAsia="en-US"/>
        </w:rPr>
      </w:pPr>
      <w:r w:rsidRPr="00096651">
        <w:rPr>
          <w:rFonts w:eastAsia="Calibri"/>
          <w:lang w:eastAsia="en-US"/>
        </w:rPr>
        <w:t>- прочие субсидии бюджетам городских округов на 71,2%;</w:t>
      </w:r>
    </w:p>
    <w:p w:rsidR="00096651" w:rsidRPr="00096651" w:rsidRDefault="00096651" w:rsidP="00096651">
      <w:pPr>
        <w:ind w:firstLine="708"/>
        <w:jc w:val="both"/>
        <w:rPr>
          <w:rFonts w:eastAsia="Calibri"/>
          <w:lang w:eastAsia="en-US"/>
        </w:rPr>
      </w:pPr>
      <w:r w:rsidRPr="00096651">
        <w:rPr>
          <w:rFonts w:eastAsia="Calibri"/>
          <w:lang w:eastAsia="en-US"/>
        </w:rPr>
        <w:t>- субвенции бюджетам субъектов РФ и муниципальных образований на 0,5%</w:t>
      </w:r>
    </w:p>
    <w:p w:rsidR="00096651" w:rsidRPr="00096651" w:rsidRDefault="00096651" w:rsidP="00096651">
      <w:pPr>
        <w:ind w:firstLine="709"/>
        <w:jc w:val="both"/>
        <w:rPr>
          <w:rFonts w:eastAsia="Calibri"/>
          <w:lang w:eastAsia="en-US"/>
        </w:rPr>
      </w:pPr>
      <w:r w:rsidRPr="00096651">
        <w:rPr>
          <w:rFonts w:eastAsia="Calibri"/>
          <w:lang w:eastAsia="en-US"/>
        </w:rPr>
        <w:t>Рост доходной части бюджета по отношению к 2015 году произошла за счет увеличения:</w:t>
      </w:r>
    </w:p>
    <w:p w:rsidR="00096651" w:rsidRPr="00096651" w:rsidRDefault="00096651" w:rsidP="00096651">
      <w:pPr>
        <w:ind w:firstLine="709"/>
        <w:jc w:val="both"/>
        <w:rPr>
          <w:rFonts w:eastAsia="Calibri"/>
          <w:lang w:eastAsia="en-US"/>
        </w:rPr>
      </w:pPr>
      <w:r w:rsidRPr="00096651">
        <w:rPr>
          <w:rFonts w:eastAsia="Calibri"/>
          <w:lang w:eastAsia="en-US"/>
        </w:rPr>
        <w:t>- налога на прибыль и доходы на 10,2%;</w:t>
      </w:r>
    </w:p>
    <w:p w:rsidR="00096651" w:rsidRPr="00096651" w:rsidRDefault="00096651" w:rsidP="00096651">
      <w:pPr>
        <w:jc w:val="both"/>
        <w:rPr>
          <w:rFonts w:eastAsia="Calibri"/>
          <w:lang w:eastAsia="en-US"/>
        </w:rPr>
      </w:pPr>
      <w:r w:rsidRPr="00096651">
        <w:rPr>
          <w:rFonts w:eastAsia="Calibri"/>
          <w:lang w:eastAsia="en-US"/>
        </w:rPr>
        <w:tab/>
        <w:t>- налогов на товары (работы, услуги), реализуемые на территории РФ на 21,1%;</w:t>
      </w:r>
    </w:p>
    <w:p w:rsidR="00096651" w:rsidRPr="00096651" w:rsidRDefault="00096651" w:rsidP="00096651">
      <w:pPr>
        <w:jc w:val="both"/>
        <w:rPr>
          <w:rFonts w:eastAsia="Calibri"/>
          <w:lang w:eastAsia="en-US"/>
        </w:rPr>
      </w:pPr>
      <w:r w:rsidRPr="00096651">
        <w:rPr>
          <w:rFonts w:eastAsia="Calibri"/>
          <w:lang w:eastAsia="en-US"/>
        </w:rPr>
        <w:tab/>
        <w:t>- налогов на имущество физических лиц на 1,7%</w:t>
      </w:r>
      <w:proofErr w:type="gramStart"/>
      <w:r w:rsidRPr="00096651">
        <w:rPr>
          <w:rFonts w:eastAsia="Calibri"/>
          <w:lang w:eastAsia="en-US"/>
        </w:rPr>
        <w:t xml:space="preserve"> ;</w:t>
      </w:r>
      <w:proofErr w:type="gramEnd"/>
      <w:r w:rsidRPr="00096651">
        <w:rPr>
          <w:rFonts w:eastAsia="Calibri"/>
          <w:lang w:eastAsia="en-US"/>
        </w:rPr>
        <w:t xml:space="preserve"> </w:t>
      </w:r>
    </w:p>
    <w:p w:rsidR="00096651" w:rsidRPr="00096651" w:rsidRDefault="00096651" w:rsidP="00096651">
      <w:pPr>
        <w:jc w:val="both"/>
        <w:rPr>
          <w:rFonts w:eastAsia="Calibri"/>
          <w:lang w:eastAsia="en-US"/>
        </w:rPr>
      </w:pPr>
      <w:r w:rsidRPr="00096651">
        <w:rPr>
          <w:rFonts w:eastAsia="Calibri"/>
          <w:lang w:eastAsia="en-US"/>
        </w:rPr>
        <w:t xml:space="preserve">            - земельного налога –20,4%;</w:t>
      </w:r>
    </w:p>
    <w:p w:rsidR="00096651" w:rsidRPr="00096651" w:rsidRDefault="00096651" w:rsidP="00096651">
      <w:pPr>
        <w:jc w:val="both"/>
        <w:rPr>
          <w:rFonts w:eastAsia="Calibri"/>
          <w:lang w:eastAsia="en-US"/>
        </w:rPr>
      </w:pPr>
      <w:r w:rsidRPr="00096651">
        <w:rPr>
          <w:rFonts w:eastAsia="Calibri"/>
          <w:lang w:eastAsia="en-US"/>
        </w:rPr>
        <w:tab/>
        <w:t>- государственная пошлина на 8 %;</w:t>
      </w:r>
    </w:p>
    <w:p w:rsidR="00096651" w:rsidRPr="00096651" w:rsidRDefault="00096651" w:rsidP="00096651">
      <w:pPr>
        <w:jc w:val="both"/>
        <w:rPr>
          <w:rFonts w:eastAsia="Calibri"/>
          <w:lang w:eastAsia="en-US"/>
        </w:rPr>
      </w:pPr>
      <w:r w:rsidRPr="00096651">
        <w:rPr>
          <w:rFonts w:eastAsia="Calibri"/>
          <w:lang w:eastAsia="en-US"/>
        </w:rPr>
        <w:tab/>
        <w:t xml:space="preserve">- доходов от перечисления части прибыли, остающейся после уплаты налогов и иных обязательных платежей муниципальных унитарных предприятий - во много раз; </w:t>
      </w:r>
    </w:p>
    <w:p w:rsidR="00096651" w:rsidRPr="00096651" w:rsidRDefault="00096651" w:rsidP="00096651">
      <w:pPr>
        <w:jc w:val="both"/>
        <w:rPr>
          <w:rFonts w:eastAsia="Calibri"/>
          <w:lang w:eastAsia="en-US"/>
        </w:rPr>
      </w:pPr>
      <w:r w:rsidRPr="00096651">
        <w:rPr>
          <w:rFonts w:eastAsia="Calibri"/>
          <w:lang w:eastAsia="en-US"/>
        </w:rPr>
        <w:tab/>
        <w:t xml:space="preserve">- доходов от использования имущества, находящегося в муниципальной и государственной собственности на 10,4%; </w:t>
      </w:r>
    </w:p>
    <w:p w:rsidR="00096651" w:rsidRPr="00096651" w:rsidRDefault="00096651" w:rsidP="00096651">
      <w:pPr>
        <w:jc w:val="both"/>
        <w:rPr>
          <w:rFonts w:eastAsia="Calibri"/>
          <w:lang w:eastAsia="en-US"/>
        </w:rPr>
      </w:pPr>
      <w:r w:rsidRPr="00096651">
        <w:rPr>
          <w:rFonts w:eastAsia="Calibri"/>
          <w:lang w:eastAsia="en-US"/>
        </w:rPr>
        <w:tab/>
        <w:t>- прочих поступлений от использования имущества, находящегося в собственности городских округов на 5,9%;</w:t>
      </w:r>
    </w:p>
    <w:p w:rsidR="00096651" w:rsidRPr="00096651" w:rsidRDefault="00096651" w:rsidP="00096651">
      <w:pPr>
        <w:jc w:val="both"/>
        <w:rPr>
          <w:rFonts w:eastAsia="Calibri"/>
          <w:lang w:eastAsia="en-US"/>
        </w:rPr>
      </w:pPr>
      <w:r w:rsidRPr="00096651">
        <w:rPr>
          <w:rFonts w:eastAsia="Calibri"/>
          <w:lang w:eastAsia="en-US"/>
        </w:rPr>
        <w:t xml:space="preserve">            - доходов от оказания платных услуг на 26,7%;</w:t>
      </w:r>
    </w:p>
    <w:p w:rsidR="00096651" w:rsidRPr="00096651" w:rsidRDefault="00096651" w:rsidP="00096651">
      <w:pPr>
        <w:jc w:val="both"/>
        <w:rPr>
          <w:rFonts w:eastAsia="Calibri"/>
          <w:lang w:eastAsia="en-US"/>
        </w:rPr>
      </w:pPr>
      <w:r w:rsidRPr="00096651">
        <w:rPr>
          <w:rFonts w:eastAsia="Calibri"/>
          <w:lang w:eastAsia="en-US"/>
        </w:rPr>
        <w:tab/>
        <w:t>- дотации бюджетам субъектов РФ и муниципальных образований на 7,1%;</w:t>
      </w:r>
    </w:p>
    <w:p w:rsidR="00096651" w:rsidRPr="00096651" w:rsidRDefault="00096651" w:rsidP="00096651">
      <w:pPr>
        <w:jc w:val="both"/>
        <w:rPr>
          <w:rFonts w:eastAsia="Calibri"/>
          <w:lang w:eastAsia="en-US"/>
        </w:rPr>
      </w:pPr>
      <w:r w:rsidRPr="00096651">
        <w:rPr>
          <w:rFonts w:eastAsia="Calibri"/>
          <w:lang w:eastAsia="en-US"/>
        </w:rPr>
        <w:tab/>
        <w:t>- дотации на выравнивание бюджетной обеспеченности на 4,8%;</w:t>
      </w:r>
    </w:p>
    <w:p w:rsidR="00096651" w:rsidRPr="00096651" w:rsidRDefault="00096651" w:rsidP="00096651">
      <w:pPr>
        <w:jc w:val="both"/>
        <w:rPr>
          <w:rFonts w:eastAsia="Calibri"/>
          <w:lang w:eastAsia="en-US"/>
        </w:rPr>
      </w:pPr>
      <w:r w:rsidRPr="00096651">
        <w:rPr>
          <w:rFonts w:eastAsia="Calibri"/>
          <w:lang w:eastAsia="en-US"/>
        </w:rPr>
        <w:tab/>
        <w:t>- иных межбюджетных трансфертов на 68,8%;</w:t>
      </w:r>
    </w:p>
    <w:p w:rsidR="00086640" w:rsidRDefault="00096651" w:rsidP="00086640">
      <w:pPr>
        <w:jc w:val="both"/>
        <w:rPr>
          <w:rFonts w:eastAsia="Calibri"/>
          <w:lang w:eastAsia="en-US"/>
        </w:rPr>
      </w:pPr>
      <w:r w:rsidRPr="00096651">
        <w:rPr>
          <w:rFonts w:eastAsia="Calibri"/>
          <w:lang w:eastAsia="en-US"/>
        </w:rPr>
        <w:t xml:space="preserve">            - доходов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w:t>
      </w:r>
      <w:r w:rsidR="00086640">
        <w:rPr>
          <w:rFonts w:eastAsia="Calibri"/>
          <w:lang w:eastAsia="en-US"/>
        </w:rPr>
        <w:t xml:space="preserve">значение, прошлых лет на 5,4% </w:t>
      </w:r>
    </w:p>
    <w:p w:rsidR="00096651" w:rsidRPr="00096651" w:rsidRDefault="00086640" w:rsidP="00086640">
      <w:pPr>
        <w:jc w:val="both"/>
        <w:rPr>
          <w:rFonts w:eastAsia="Calibri"/>
          <w:lang w:eastAsia="en-US"/>
        </w:rPr>
      </w:pPr>
      <w:r>
        <w:rPr>
          <w:rFonts w:eastAsia="Calibri"/>
          <w:lang w:eastAsia="en-US"/>
        </w:rPr>
        <w:tab/>
      </w:r>
      <w:r w:rsidR="00096651" w:rsidRPr="00096651">
        <w:rPr>
          <w:rFonts w:eastAsia="Calibri"/>
          <w:lang w:eastAsia="en-US"/>
        </w:rPr>
        <w:t xml:space="preserve">В 2016 году исполнение налоговых и  неналоговых доходов составило 123 350,8тыс. руб. или  94,1 % от утвержденного плана. </w:t>
      </w:r>
    </w:p>
    <w:p w:rsidR="00096651" w:rsidRPr="00096651" w:rsidRDefault="00096651" w:rsidP="00096651">
      <w:pPr>
        <w:autoSpaceDE w:val="0"/>
        <w:autoSpaceDN w:val="0"/>
        <w:adjustRightInd w:val="0"/>
        <w:ind w:firstLine="708"/>
        <w:jc w:val="both"/>
        <w:rPr>
          <w:rFonts w:eastAsia="Calibri"/>
          <w:lang w:eastAsia="en-US"/>
        </w:rPr>
      </w:pPr>
      <w:r w:rsidRPr="00096651">
        <w:rPr>
          <w:rFonts w:eastAsia="Calibri"/>
          <w:b/>
          <w:lang w:eastAsia="en-US"/>
        </w:rPr>
        <w:t xml:space="preserve">Недоимка по платежам </w:t>
      </w:r>
      <w:r w:rsidRPr="00096651">
        <w:rPr>
          <w:rFonts w:eastAsia="Calibri"/>
          <w:lang w:eastAsia="en-US"/>
        </w:rPr>
        <w:t>в местный бюджет на конец отчетного периода уменьшилась по сравнению с 01.01.2016года на 1 550,0 тыс. руб. и на 01.01.2017 г составила 4 719,0 тыс. руб. или 3,8 % от общей сумы поступивших налоговых и неналоговых доходов</w:t>
      </w:r>
      <w:proofErr w:type="gramStart"/>
      <w:r w:rsidRPr="00096651">
        <w:rPr>
          <w:rFonts w:eastAsia="Calibri"/>
          <w:lang w:eastAsia="en-US"/>
        </w:rPr>
        <w:t>..</w:t>
      </w:r>
      <w:proofErr w:type="gramEnd"/>
    </w:p>
    <w:p w:rsidR="00096651" w:rsidRPr="00096651" w:rsidRDefault="00096651" w:rsidP="00096651">
      <w:pPr>
        <w:autoSpaceDE w:val="0"/>
        <w:autoSpaceDN w:val="0"/>
        <w:adjustRightInd w:val="0"/>
        <w:ind w:firstLine="708"/>
        <w:jc w:val="both"/>
        <w:rPr>
          <w:rFonts w:eastAsia="Calibri"/>
          <w:lang w:eastAsia="en-US"/>
        </w:rPr>
      </w:pPr>
      <w:r w:rsidRPr="00096651">
        <w:rPr>
          <w:rFonts w:eastAsia="Calibri"/>
          <w:lang w:eastAsia="en-US"/>
        </w:rPr>
        <w:t>Основная статья доходов, являющаяся причиной недовыполнения плановых показателей, является статья «Налог на доходы физических лиц». Сумма недовыполнения составила 10 308,8 тыс. руб. Причиной этого является задолженность в бюджет городского округа предприятиями, находящимися в стадии банкротства.</w:t>
      </w:r>
    </w:p>
    <w:p w:rsidR="00086640" w:rsidRDefault="00096651" w:rsidP="00086640">
      <w:pPr>
        <w:tabs>
          <w:tab w:val="left" w:pos="1230"/>
          <w:tab w:val="left" w:pos="1800"/>
        </w:tabs>
        <w:suppressAutoHyphens/>
        <w:rPr>
          <w:rFonts w:eastAsia="Andale Sans UI" w:cs="Tahoma"/>
          <w:b/>
          <w:kern w:val="3"/>
          <w:lang w:eastAsia="ja-JP" w:bidi="fa-IR"/>
        </w:rPr>
      </w:pPr>
      <w:r w:rsidRPr="00096651">
        <w:rPr>
          <w:lang w:eastAsia="ar-SA"/>
        </w:rPr>
        <w:tab/>
      </w:r>
      <w:r w:rsidRPr="00096651">
        <w:rPr>
          <w:lang w:eastAsia="ar-SA"/>
        </w:rPr>
        <w:tab/>
        <w:t xml:space="preserve">                                                                                                                                                                                                                                                                                                                                                                         </w:t>
      </w:r>
      <w:r w:rsidR="00086640">
        <w:rPr>
          <w:lang w:eastAsia="ar-SA"/>
        </w:rPr>
        <w:t xml:space="preserve">                             </w:t>
      </w:r>
      <w:r w:rsidR="00086640">
        <w:rPr>
          <w:lang w:eastAsia="ar-SA"/>
        </w:rPr>
        <w:tab/>
      </w:r>
      <w:r w:rsidR="00086640">
        <w:rPr>
          <w:lang w:eastAsia="ar-SA"/>
        </w:rPr>
        <w:tab/>
      </w:r>
      <w:r w:rsidRPr="00096651">
        <w:rPr>
          <w:rFonts w:eastAsia="Andale Sans UI" w:cs="Tahoma"/>
          <w:b/>
          <w:kern w:val="3"/>
          <w:lang w:eastAsia="ja-JP" w:bidi="fa-IR"/>
        </w:rPr>
        <w:t xml:space="preserve">Исполнение бюджета городского округа </w:t>
      </w:r>
    </w:p>
    <w:p w:rsidR="00096651" w:rsidRPr="00086640" w:rsidRDefault="00086640" w:rsidP="00086640">
      <w:pPr>
        <w:tabs>
          <w:tab w:val="left" w:pos="1230"/>
          <w:tab w:val="left" w:pos="1800"/>
        </w:tabs>
        <w:suppressAutoHyphens/>
        <w:jc w:val="both"/>
        <w:rPr>
          <w:rFonts w:eastAsia="Calibri"/>
          <w:lang w:eastAsia="en-US"/>
        </w:rPr>
      </w:pPr>
      <w:r>
        <w:rPr>
          <w:rFonts w:eastAsia="Andale Sans UI" w:cs="Tahoma"/>
          <w:b/>
          <w:kern w:val="3"/>
          <w:lang w:eastAsia="ja-JP" w:bidi="fa-IR"/>
        </w:rPr>
        <w:tab/>
      </w:r>
      <w:r w:rsidR="00096651" w:rsidRPr="00096651">
        <w:rPr>
          <w:rFonts w:eastAsia="Andale Sans UI" w:cs="Tahoma"/>
          <w:b/>
          <w:kern w:val="3"/>
          <w:lang w:eastAsia="ja-JP" w:bidi="fa-IR"/>
        </w:rPr>
        <w:t>Вичуга</w:t>
      </w:r>
      <w:r>
        <w:rPr>
          <w:rFonts w:eastAsia="Calibri"/>
          <w:lang w:eastAsia="en-US"/>
        </w:rPr>
        <w:t xml:space="preserve"> </w:t>
      </w:r>
      <w:r w:rsidR="00096651" w:rsidRPr="00096651">
        <w:rPr>
          <w:rFonts w:eastAsia="Andale Sans UI" w:cs="Tahoma"/>
          <w:b/>
          <w:kern w:val="3"/>
          <w:lang w:eastAsia="ja-JP" w:bidi="fa-IR"/>
        </w:rPr>
        <w:t>в 2016 году по расходным обязательствам</w:t>
      </w:r>
    </w:p>
    <w:p w:rsidR="00433F1D" w:rsidRDefault="00086640" w:rsidP="00096651">
      <w:pPr>
        <w:widowControl w:val="0"/>
        <w:suppressAutoHyphens/>
        <w:autoSpaceDN w:val="0"/>
        <w:jc w:val="both"/>
        <w:textAlignment w:val="baseline"/>
        <w:rPr>
          <w:rFonts w:eastAsia="Andale Sans UI" w:cs="Tahoma"/>
          <w:b/>
          <w:kern w:val="3"/>
          <w:lang w:eastAsia="ja-JP" w:bidi="fa-IR"/>
        </w:rPr>
      </w:pPr>
      <w:r>
        <w:rPr>
          <w:rFonts w:eastAsia="Andale Sans UI" w:cs="Tahoma"/>
          <w:b/>
          <w:kern w:val="3"/>
          <w:lang w:eastAsia="ja-JP" w:bidi="fa-IR"/>
        </w:rPr>
        <w:tab/>
      </w:r>
    </w:p>
    <w:p w:rsidR="00096651" w:rsidRPr="00096651" w:rsidRDefault="00433F1D" w:rsidP="00096651">
      <w:pPr>
        <w:widowControl w:val="0"/>
        <w:suppressAutoHyphens/>
        <w:autoSpaceDN w:val="0"/>
        <w:jc w:val="both"/>
        <w:textAlignment w:val="baseline"/>
        <w:rPr>
          <w:rFonts w:eastAsia="Andale Sans UI" w:cs="Tahoma"/>
          <w:kern w:val="3"/>
          <w:lang w:eastAsia="ja-JP" w:bidi="fa-IR"/>
        </w:rPr>
      </w:pPr>
      <w:r>
        <w:rPr>
          <w:rFonts w:eastAsia="Andale Sans UI" w:cs="Tahoma"/>
          <w:b/>
          <w:kern w:val="3"/>
          <w:lang w:eastAsia="ja-JP" w:bidi="fa-IR"/>
        </w:rPr>
        <w:tab/>
      </w:r>
      <w:r w:rsidR="00096651" w:rsidRPr="00096651">
        <w:rPr>
          <w:rFonts w:eastAsia="Andale Sans UI" w:cs="Tahoma"/>
          <w:kern w:val="3"/>
          <w:lang w:eastAsia="ja-JP" w:bidi="fa-IR"/>
        </w:rPr>
        <w:t xml:space="preserve">Решением городской Думы городского округа Вичуга от 23.12.2015г. № 38 «О бюджете городского округа Вичуга на 2016 год» расходы были утверждены в сумме </w:t>
      </w:r>
      <w:r w:rsidR="00096651" w:rsidRPr="00096651">
        <w:rPr>
          <w:b/>
          <w:bCs/>
          <w:color w:val="000000"/>
        </w:rPr>
        <w:t>444 507, 7</w:t>
      </w:r>
      <w:r w:rsidR="00096651" w:rsidRPr="00096651">
        <w:rPr>
          <w:rFonts w:eastAsia="Andale Sans UI" w:cs="Tahoma"/>
          <w:kern w:val="3"/>
          <w:lang w:eastAsia="ja-JP" w:bidi="fa-IR"/>
        </w:rPr>
        <w:t xml:space="preserve"> тыс. рублей. Уточненный годовой план  составил </w:t>
      </w:r>
      <w:r w:rsidR="00096651" w:rsidRPr="00096651">
        <w:rPr>
          <w:rFonts w:eastAsia="Andale Sans UI" w:cs="Tahoma"/>
          <w:b/>
          <w:kern w:val="3"/>
          <w:lang w:eastAsia="ja-JP" w:bidi="fa-IR"/>
        </w:rPr>
        <w:t>458 119,3</w:t>
      </w:r>
      <w:r w:rsidR="00096651" w:rsidRPr="00096651">
        <w:rPr>
          <w:rFonts w:eastAsia="Andale Sans UI" w:cs="Tahoma"/>
          <w:kern w:val="3"/>
          <w:lang w:eastAsia="ja-JP" w:bidi="fa-IR"/>
        </w:rPr>
        <w:t xml:space="preserve"> тыс. рублей, что выше утвержденных показателей на </w:t>
      </w:r>
      <w:r w:rsidR="00096651" w:rsidRPr="00096651">
        <w:rPr>
          <w:rFonts w:eastAsia="Andale Sans UI" w:cs="Tahoma"/>
          <w:b/>
          <w:kern w:val="3"/>
          <w:lang w:eastAsia="ja-JP" w:bidi="fa-IR"/>
        </w:rPr>
        <w:t>13 611,6</w:t>
      </w:r>
      <w:r w:rsidR="00096651" w:rsidRPr="00096651">
        <w:rPr>
          <w:rFonts w:eastAsia="Andale Sans UI" w:cs="Tahoma"/>
          <w:kern w:val="3"/>
          <w:lang w:eastAsia="ja-JP" w:bidi="fa-IR"/>
        </w:rPr>
        <w:t xml:space="preserve"> тыс. рублей.</w:t>
      </w:r>
    </w:p>
    <w:p w:rsidR="00433F1D" w:rsidRPr="00096651" w:rsidRDefault="00096651" w:rsidP="00433F1D">
      <w:pPr>
        <w:widowControl w:val="0"/>
        <w:suppressAutoHyphens/>
        <w:autoSpaceDN w:val="0"/>
        <w:ind w:firstLine="709"/>
        <w:jc w:val="both"/>
        <w:textAlignment w:val="baseline"/>
        <w:rPr>
          <w:rFonts w:eastAsia="Andale Sans UI" w:cs="Tahoma"/>
          <w:kern w:val="3"/>
          <w:lang w:eastAsia="ja-JP" w:bidi="fa-IR"/>
        </w:rPr>
      </w:pPr>
      <w:r w:rsidRPr="00096651">
        <w:rPr>
          <w:rFonts w:eastAsia="Andale Sans UI" w:cs="Tahoma"/>
          <w:kern w:val="3"/>
          <w:lang w:eastAsia="ja-JP" w:bidi="fa-IR"/>
        </w:rPr>
        <w:t xml:space="preserve">Расходы по обязательствам бюджета исполнены в сумме </w:t>
      </w:r>
      <w:r w:rsidRPr="00096651">
        <w:rPr>
          <w:rFonts w:eastAsia="Andale Sans UI" w:cs="Tahoma"/>
          <w:b/>
          <w:kern w:val="3"/>
          <w:lang w:eastAsia="ja-JP" w:bidi="fa-IR"/>
        </w:rPr>
        <w:t>447 241,9</w:t>
      </w:r>
      <w:r w:rsidRPr="00096651">
        <w:rPr>
          <w:rFonts w:eastAsia="Andale Sans UI" w:cs="Tahoma"/>
          <w:kern w:val="3"/>
          <w:lang w:eastAsia="ja-JP" w:bidi="fa-IR"/>
        </w:rPr>
        <w:t xml:space="preserve"> тыс. рублей, или </w:t>
      </w:r>
      <w:r w:rsidRPr="00096651">
        <w:rPr>
          <w:rFonts w:eastAsia="Andale Sans UI" w:cs="Tahoma"/>
          <w:b/>
          <w:kern w:val="3"/>
          <w:lang w:eastAsia="ja-JP" w:bidi="fa-IR"/>
        </w:rPr>
        <w:t>97,63%</w:t>
      </w:r>
      <w:r w:rsidRPr="00096651">
        <w:rPr>
          <w:rFonts w:eastAsia="Andale Sans UI" w:cs="Tahoma"/>
          <w:kern w:val="3"/>
          <w:lang w:eastAsia="ja-JP" w:bidi="fa-IR"/>
        </w:rPr>
        <w:t xml:space="preserve"> от утвержденного годового бюджетного назначения </w:t>
      </w:r>
      <w:r w:rsidRPr="00096651">
        <w:rPr>
          <w:rFonts w:eastAsia="Andale Sans UI" w:cs="Tahoma"/>
          <w:b/>
          <w:kern w:val="3"/>
          <w:lang w:eastAsia="ja-JP" w:bidi="fa-IR"/>
        </w:rPr>
        <w:t>458 119,3</w:t>
      </w:r>
      <w:r w:rsidRPr="00096651">
        <w:rPr>
          <w:rFonts w:eastAsia="Andale Sans UI" w:cs="Tahoma"/>
          <w:kern w:val="3"/>
          <w:lang w:eastAsia="ja-JP" w:bidi="fa-IR"/>
        </w:rPr>
        <w:t xml:space="preserve"> тыс. рублей. </w:t>
      </w:r>
      <w:r w:rsidR="00433F1D" w:rsidRPr="00096651">
        <w:rPr>
          <w:rFonts w:eastAsia="Andale Sans UI" w:cs="Tahoma"/>
          <w:kern w:val="3"/>
          <w:lang w:eastAsia="ja-JP" w:bidi="fa-IR"/>
        </w:rPr>
        <w:t>Невыполнение плана расходной части бюджета в размере 2,37% произошло вследствие неисполнения показателей муниципальных заданий и снижения поступлений доходов в бюджет городского округа Вичуга.</w:t>
      </w:r>
    </w:p>
    <w:p w:rsidR="00433F1D" w:rsidRDefault="00433F1D" w:rsidP="00096651">
      <w:pPr>
        <w:widowControl w:val="0"/>
        <w:suppressAutoHyphens/>
        <w:autoSpaceDN w:val="0"/>
        <w:jc w:val="both"/>
        <w:textAlignment w:val="baseline"/>
        <w:rPr>
          <w:rFonts w:eastAsia="Andale Sans UI" w:cs="Tahoma"/>
          <w:b/>
          <w:kern w:val="3"/>
          <w:lang w:eastAsia="ja-JP" w:bidi="fa-IR"/>
        </w:rPr>
      </w:pPr>
      <w:r>
        <w:rPr>
          <w:rFonts w:eastAsia="Calibri"/>
          <w:lang w:eastAsia="en-US"/>
        </w:rPr>
        <w:tab/>
      </w:r>
      <w:r w:rsidR="00096651" w:rsidRPr="00096651">
        <w:rPr>
          <w:rFonts w:eastAsia="Andale Sans UI" w:cs="Tahoma"/>
          <w:kern w:val="3"/>
          <w:lang w:eastAsia="ja-JP" w:bidi="fa-IR"/>
        </w:rPr>
        <w:t xml:space="preserve">Анализ исполнения расходов в разрезе функциональной классификации на 01.01.2017 год показывает, что наибольший удельный вес в структуре расходов  от общих расходов за 2016 год занимают расходы на образование – </w:t>
      </w:r>
      <w:r>
        <w:rPr>
          <w:rFonts w:eastAsia="Andale Sans UI" w:cs="Tahoma"/>
          <w:b/>
          <w:kern w:val="3"/>
          <w:lang w:eastAsia="ja-JP" w:bidi="fa-IR"/>
        </w:rPr>
        <w:t>64,38%.</w:t>
      </w:r>
    </w:p>
    <w:p w:rsidR="00096651" w:rsidRPr="00096651" w:rsidRDefault="00433F1D" w:rsidP="00433F1D">
      <w:pPr>
        <w:widowControl w:val="0"/>
        <w:suppressAutoHyphens/>
        <w:autoSpaceDN w:val="0"/>
        <w:jc w:val="both"/>
        <w:textAlignment w:val="baseline"/>
        <w:rPr>
          <w:rFonts w:eastAsia="Andale Sans UI" w:cs="Tahoma"/>
          <w:kern w:val="3"/>
          <w:lang w:eastAsia="ja-JP" w:bidi="fa-IR"/>
        </w:rPr>
      </w:pPr>
      <w:r>
        <w:rPr>
          <w:rFonts w:eastAsia="Andale Sans UI" w:cs="Tahoma"/>
          <w:kern w:val="3"/>
          <w:lang w:eastAsia="ja-JP" w:bidi="fa-IR"/>
        </w:rPr>
        <w:tab/>
      </w:r>
      <w:r w:rsidR="00096651" w:rsidRPr="00096651">
        <w:rPr>
          <w:rFonts w:eastAsia="Andale Sans UI" w:cs="Tahoma"/>
          <w:kern w:val="3"/>
          <w:lang w:eastAsia="ja-JP" w:bidi="fa-IR"/>
        </w:rPr>
        <w:t xml:space="preserve"> </w:t>
      </w:r>
    </w:p>
    <w:p w:rsidR="00F7155E" w:rsidRDefault="00F7155E" w:rsidP="00096651">
      <w:pPr>
        <w:jc w:val="center"/>
        <w:rPr>
          <w:rFonts w:eastAsia="Calibri"/>
          <w:b/>
          <w:lang w:eastAsia="en-US"/>
        </w:rPr>
      </w:pPr>
    </w:p>
    <w:p w:rsidR="00096651" w:rsidRPr="00096651" w:rsidRDefault="00096651" w:rsidP="00096651">
      <w:pPr>
        <w:jc w:val="center"/>
        <w:rPr>
          <w:rFonts w:eastAsia="Calibri"/>
          <w:b/>
          <w:lang w:eastAsia="en-US"/>
        </w:rPr>
      </w:pPr>
      <w:r w:rsidRPr="00096651">
        <w:rPr>
          <w:rFonts w:eastAsia="Calibri"/>
          <w:b/>
          <w:lang w:eastAsia="en-US"/>
        </w:rPr>
        <w:lastRenderedPageBreak/>
        <w:t xml:space="preserve">Анализ муниципальных программ городского округа Вичуга на 2016 год </w:t>
      </w:r>
    </w:p>
    <w:p w:rsidR="00096651" w:rsidRPr="00096651" w:rsidRDefault="00096651" w:rsidP="00096651">
      <w:pPr>
        <w:jc w:val="center"/>
        <w:rPr>
          <w:rFonts w:eastAsia="Calibri"/>
          <w:b/>
          <w:lang w:eastAsia="en-US"/>
        </w:rPr>
      </w:pPr>
    </w:p>
    <w:p w:rsidR="00096651" w:rsidRPr="00096651" w:rsidRDefault="00096651" w:rsidP="00F7155E">
      <w:pPr>
        <w:ind w:firstLine="708"/>
        <w:jc w:val="both"/>
      </w:pPr>
      <w:r w:rsidRPr="00096651">
        <w:t>В соответствии БК РФ бюджет   сформирован в программной структуре расходов на основе муниципальных программ  городского округа Вичуга (далее – муниципальные программы).</w:t>
      </w:r>
    </w:p>
    <w:p w:rsidR="00096651" w:rsidRPr="00096651" w:rsidRDefault="00096651" w:rsidP="00F7155E">
      <w:pPr>
        <w:ind w:firstLine="708"/>
        <w:jc w:val="both"/>
      </w:pPr>
      <w:r w:rsidRPr="00096651">
        <w:t xml:space="preserve">В соответствии с Решением о бюджете городского округа Вичуга  осуществлялось  финансирование 13-ти (тринадцати) муниципальных программ.   </w:t>
      </w:r>
    </w:p>
    <w:p w:rsidR="00096651" w:rsidRPr="00F7155E" w:rsidRDefault="00F7155E" w:rsidP="00F7155E">
      <w:pPr>
        <w:jc w:val="both"/>
      </w:pPr>
      <w:r>
        <w:tab/>
      </w:r>
      <w:bookmarkStart w:id="0" w:name="_GoBack"/>
      <w:bookmarkEnd w:id="0"/>
      <w:r w:rsidR="00096651" w:rsidRPr="00096651">
        <w:t>Анализ муниципальных программ городского округа Вичуга, действующих в 2016 году</w:t>
      </w:r>
      <w:r>
        <w:t xml:space="preserve">, что </w:t>
      </w:r>
      <w:r w:rsidR="00096651" w:rsidRPr="00096651">
        <w:t xml:space="preserve">практически во все программы вносились изменения в течение 2016 года. При первоначальных утвержденных показателях в сумме </w:t>
      </w:r>
      <w:r w:rsidR="00096651" w:rsidRPr="00096651">
        <w:rPr>
          <w:b/>
        </w:rPr>
        <w:t>422 954 375,59</w:t>
      </w:r>
      <w:r w:rsidR="00096651" w:rsidRPr="00096651">
        <w:t xml:space="preserve"> </w:t>
      </w:r>
      <w:r w:rsidR="00096651" w:rsidRPr="00096651">
        <w:rPr>
          <w:color w:val="000000"/>
          <w:sz w:val="22"/>
          <w:szCs w:val="22"/>
        </w:rPr>
        <w:t xml:space="preserve">руб. в течение года были внесены изменения на общую сумму </w:t>
      </w:r>
      <w:r w:rsidR="00096651" w:rsidRPr="00096651">
        <w:rPr>
          <w:b/>
          <w:color w:val="000000"/>
          <w:sz w:val="22"/>
          <w:szCs w:val="22"/>
        </w:rPr>
        <w:t>11 561 695,52</w:t>
      </w:r>
      <w:r w:rsidR="00096651" w:rsidRPr="00096651">
        <w:rPr>
          <w:color w:val="000000"/>
          <w:sz w:val="22"/>
          <w:szCs w:val="22"/>
        </w:rPr>
        <w:t xml:space="preserve">руб. и составило </w:t>
      </w:r>
      <w:r w:rsidR="00096651" w:rsidRPr="00096651">
        <w:rPr>
          <w:b/>
          <w:color w:val="000000"/>
          <w:sz w:val="22"/>
          <w:szCs w:val="22"/>
        </w:rPr>
        <w:t xml:space="preserve">434 516 071,11 </w:t>
      </w:r>
      <w:r w:rsidR="00096651" w:rsidRPr="00096651">
        <w:rPr>
          <w:color w:val="000000"/>
          <w:sz w:val="22"/>
          <w:szCs w:val="22"/>
        </w:rPr>
        <w:t>руб</w:t>
      </w:r>
      <w:r w:rsidR="00096651" w:rsidRPr="00096651">
        <w:rPr>
          <w:b/>
          <w:color w:val="000000"/>
          <w:sz w:val="22"/>
          <w:szCs w:val="22"/>
        </w:rPr>
        <w:t xml:space="preserve">. </w:t>
      </w:r>
      <w:r w:rsidR="00096651" w:rsidRPr="00096651">
        <w:rPr>
          <w:color w:val="000000"/>
          <w:sz w:val="22"/>
          <w:szCs w:val="22"/>
        </w:rPr>
        <w:t>Фактическое исполнение программ</w:t>
      </w:r>
      <w:r w:rsidR="00096651" w:rsidRPr="00096651">
        <w:rPr>
          <w:b/>
          <w:color w:val="000000"/>
          <w:sz w:val="22"/>
          <w:szCs w:val="22"/>
        </w:rPr>
        <w:t xml:space="preserve"> составило 423 697 883,37</w:t>
      </w:r>
      <w:r w:rsidR="00096651" w:rsidRPr="00096651">
        <w:rPr>
          <w:color w:val="000000"/>
          <w:sz w:val="22"/>
          <w:szCs w:val="22"/>
        </w:rPr>
        <w:t>руб. или 97,5% общего объема расходов бюджета городского округа Вичуга.</w:t>
      </w:r>
    </w:p>
    <w:p w:rsidR="00096651" w:rsidRPr="00096651" w:rsidRDefault="00096651" w:rsidP="00096651">
      <w:pPr>
        <w:ind w:firstLine="708"/>
        <w:jc w:val="both"/>
      </w:pPr>
      <w:r w:rsidRPr="00096651">
        <w:t xml:space="preserve">Муниципальные программы реализуются посредствам 40 (сорока) подпрограмм. </w:t>
      </w:r>
    </w:p>
    <w:p w:rsidR="00096651" w:rsidRPr="00096651" w:rsidRDefault="00096651" w:rsidP="00096651">
      <w:pPr>
        <w:widowControl w:val="0"/>
        <w:suppressAutoHyphens/>
        <w:autoSpaceDN w:val="0"/>
        <w:jc w:val="both"/>
        <w:textAlignment w:val="baseline"/>
      </w:pPr>
      <w:r w:rsidRPr="00096651">
        <w:rPr>
          <w:color w:val="000000"/>
          <w:sz w:val="22"/>
          <w:szCs w:val="22"/>
        </w:rPr>
        <w:tab/>
      </w:r>
      <w:r w:rsidRPr="00096651">
        <w:rPr>
          <w:rFonts w:eastAsia="Andale Sans UI" w:cs="Tahoma"/>
          <w:kern w:val="3"/>
          <w:lang w:eastAsia="ja-JP" w:bidi="fa-IR"/>
        </w:rPr>
        <w:t>Уровень исполнения всех  программ  составил свыше 90%. Однако, необходимо отметить, что только 3 программы выполнены полностью, другие не выполнены  по причине отсутствия денежных средств.</w:t>
      </w:r>
    </w:p>
    <w:p w:rsidR="00096651" w:rsidRPr="00096651" w:rsidRDefault="00096651" w:rsidP="00096651">
      <w:pPr>
        <w:jc w:val="both"/>
      </w:pPr>
    </w:p>
    <w:p w:rsidR="00096651" w:rsidRPr="00096651" w:rsidRDefault="00096651" w:rsidP="00096651">
      <w:pPr>
        <w:widowControl w:val="0"/>
        <w:suppressAutoHyphens/>
        <w:autoSpaceDN w:val="0"/>
        <w:jc w:val="center"/>
        <w:textAlignment w:val="baseline"/>
        <w:rPr>
          <w:rFonts w:eastAsia="Andale Sans UI" w:cs="Tahoma"/>
          <w:b/>
          <w:kern w:val="3"/>
          <w:lang w:eastAsia="ja-JP" w:bidi="fa-IR"/>
        </w:rPr>
      </w:pPr>
      <w:r w:rsidRPr="00096651">
        <w:rPr>
          <w:rFonts w:eastAsia="Andale Sans UI" w:cs="Tahoma"/>
          <w:b/>
          <w:kern w:val="3"/>
          <w:lang w:eastAsia="ja-JP" w:bidi="fa-IR"/>
        </w:rPr>
        <w:t xml:space="preserve"> Выводы и предложения:</w:t>
      </w:r>
    </w:p>
    <w:p w:rsidR="00096651" w:rsidRPr="00096651" w:rsidRDefault="00096651" w:rsidP="00096651">
      <w:pPr>
        <w:widowControl w:val="0"/>
        <w:suppressAutoHyphens/>
        <w:autoSpaceDN w:val="0"/>
        <w:textAlignment w:val="baseline"/>
        <w:rPr>
          <w:rFonts w:eastAsia="Andale Sans UI" w:cs="Tahoma"/>
          <w:b/>
          <w:kern w:val="3"/>
          <w:lang w:eastAsia="ja-JP" w:bidi="fa-IR"/>
        </w:rPr>
      </w:pPr>
    </w:p>
    <w:p w:rsidR="00096651" w:rsidRPr="00096651" w:rsidRDefault="00096651" w:rsidP="00096651">
      <w:pPr>
        <w:widowControl w:val="0"/>
        <w:suppressAutoHyphens/>
        <w:autoSpaceDN w:val="0"/>
        <w:ind w:firstLine="708"/>
        <w:jc w:val="both"/>
        <w:textAlignment w:val="baseline"/>
        <w:rPr>
          <w:rFonts w:eastAsia="Andale Sans UI" w:cs="Tahoma"/>
          <w:kern w:val="3"/>
          <w:lang w:eastAsia="ja-JP" w:bidi="fa-IR"/>
        </w:rPr>
      </w:pPr>
      <w:r w:rsidRPr="00096651">
        <w:rPr>
          <w:rFonts w:eastAsia="Andale Sans UI" w:cs="Tahoma"/>
          <w:kern w:val="3"/>
          <w:lang w:eastAsia="ja-JP" w:bidi="fa-IR"/>
        </w:rPr>
        <w:t xml:space="preserve">Бюджет городского округа Вичуга за 2016 год исполнен в соответствии с решением городской Думы городского округа Вичуга от 23.12.2015г. №38 (в действующей редакции) «О бюджете городского округа Вичуга на 2016 год». </w:t>
      </w:r>
    </w:p>
    <w:p w:rsidR="00096651" w:rsidRPr="00096651" w:rsidRDefault="00096651" w:rsidP="00096651">
      <w:pPr>
        <w:widowControl w:val="0"/>
        <w:suppressAutoHyphens/>
        <w:autoSpaceDN w:val="0"/>
        <w:jc w:val="both"/>
        <w:textAlignment w:val="baseline"/>
        <w:rPr>
          <w:rFonts w:eastAsia="Andale Sans UI" w:cs="Tahoma"/>
          <w:b/>
          <w:kern w:val="3"/>
          <w:lang w:eastAsia="ja-JP" w:bidi="fa-IR"/>
        </w:rPr>
      </w:pPr>
      <w:r w:rsidRPr="00096651">
        <w:rPr>
          <w:rFonts w:eastAsia="Andale Sans UI" w:cs="Tahoma"/>
          <w:kern w:val="3"/>
          <w:lang w:eastAsia="ja-JP" w:bidi="fa-IR"/>
        </w:rPr>
        <w:t xml:space="preserve">           </w:t>
      </w:r>
      <w:r w:rsidRPr="00096651">
        <w:rPr>
          <w:rFonts w:eastAsia="Andale Sans UI" w:cs="Tahoma"/>
          <w:b/>
          <w:kern w:val="3"/>
          <w:lang w:eastAsia="ja-JP" w:bidi="fa-IR"/>
        </w:rPr>
        <w:t xml:space="preserve">Контрольно-счетная комиссия отмечает, что при исполнении бюджета в 2016 году наблюдается снижение показателей исполнения к уровню 2015 года как по доходам на 6,4%, так и по расходам на 7,2%. </w:t>
      </w:r>
    </w:p>
    <w:p w:rsidR="00096651" w:rsidRPr="00096651" w:rsidRDefault="00096651" w:rsidP="00096651">
      <w:pPr>
        <w:widowControl w:val="0"/>
        <w:suppressAutoHyphens/>
        <w:autoSpaceDN w:val="0"/>
        <w:ind w:firstLine="708"/>
        <w:jc w:val="both"/>
        <w:textAlignment w:val="baseline"/>
        <w:rPr>
          <w:rFonts w:eastAsia="Andale Sans UI" w:cs="Tahoma"/>
          <w:kern w:val="3"/>
          <w:lang w:eastAsia="ja-JP" w:bidi="fa-IR"/>
        </w:rPr>
      </w:pPr>
      <w:r w:rsidRPr="00096651">
        <w:rPr>
          <w:rFonts w:eastAsia="Andale Sans UI" w:cs="Tahoma"/>
          <w:kern w:val="3"/>
          <w:lang w:eastAsia="ja-JP" w:bidi="fa-IR"/>
        </w:rPr>
        <w:t>Проведенная проверка годового отчета об исполнении бюджета городского округа Вичуга за 2016 год представляет основания для выражения независимого мнения о его достоверности и соответствия порядку ведения бюджетного учета, исполнения бюджета законодательству Российской Федерации.</w:t>
      </w:r>
    </w:p>
    <w:p w:rsidR="00096651" w:rsidRPr="00096651" w:rsidRDefault="00096651" w:rsidP="00096651">
      <w:pPr>
        <w:widowControl w:val="0"/>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ab/>
        <w:t>Проверка годового отчета об исполнении бюджета городского округа Вичуга за 2016 год показала, что исполнение бюджета по расходам подтверждено представленной отчетностью главных администраторов бюджетных средств городского округа Вичуга.</w:t>
      </w:r>
    </w:p>
    <w:p w:rsidR="00096651" w:rsidRPr="00096651" w:rsidRDefault="00096651" w:rsidP="00096651">
      <w:pPr>
        <w:widowControl w:val="0"/>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ab/>
        <w:t xml:space="preserve">В бюджетной отчетности об исполнения бюджета за 2016 год соблюдена внутренняя согласованность соответствующих форм бюджетной отчетности. </w:t>
      </w:r>
    </w:p>
    <w:p w:rsidR="00096651" w:rsidRPr="00096651" w:rsidRDefault="00096651" w:rsidP="00096651">
      <w:pPr>
        <w:widowControl w:val="0"/>
        <w:suppressAutoHyphens/>
        <w:autoSpaceDN w:val="0"/>
        <w:ind w:firstLine="708"/>
        <w:jc w:val="both"/>
        <w:textAlignment w:val="baseline"/>
        <w:rPr>
          <w:rFonts w:eastAsia="Andale Sans UI" w:cs="Tahoma"/>
          <w:kern w:val="3"/>
          <w:lang w:eastAsia="ja-JP" w:bidi="fa-IR"/>
        </w:rPr>
      </w:pPr>
      <w:r w:rsidRPr="00096651">
        <w:rPr>
          <w:rFonts w:eastAsia="Andale Sans UI" w:cs="Tahoma"/>
          <w:kern w:val="3"/>
          <w:lang w:eastAsia="ja-JP" w:bidi="fa-IR"/>
        </w:rPr>
        <w:t>В отчетности главных администраторов средств бюджета выявлены отдельные недочеты (нарушения) в заполнении форм, которые не повлияли на достоверность показателей.</w:t>
      </w:r>
    </w:p>
    <w:p w:rsidR="00096651" w:rsidRPr="00096651" w:rsidRDefault="00096651" w:rsidP="00096651">
      <w:pPr>
        <w:widowControl w:val="0"/>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ab/>
        <w:t>Контрольно-счетная комиссия предлагает администрации городского округа Вичуга:</w:t>
      </w:r>
    </w:p>
    <w:p w:rsidR="00096651" w:rsidRPr="00096651" w:rsidRDefault="00096651" w:rsidP="00096651">
      <w:pPr>
        <w:widowControl w:val="0"/>
        <w:numPr>
          <w:ilvl w:val="0"/>
          <w:numId w:val="5"/>
        </w:numPr>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 xml:space="preserve">Усилить работу по снижению общей недоимки по налогам и сборам. </w:t>
      </w:r>
    </w:p>
    <w:p w:rsidR="00096651" w:rsidRPr="00096651" w:rsidRDefault="00096651" w:rsidP="00096651">
      <w:pPr>
        <w:widowControl w:val="0"/>
        <w:numPr>
          <w:ilvl w:val="0"/>
          <w:numId w:val="5"/>
        </w:numPr>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Предоставлять одновременно с проектом отчета об исполнении бюджета дополнительную информацию о проведенных конкретных  мероприятиях в рамках реализации муниципальных программ.</w:t>
      </w:r>
    </w:p>
    <w:p w:rsidR="00096651" w:rsidRPr="00096651" w:rsidRDefault="00096651" w:rsidP="00096651">
      <w:pPr>
        <w:widowControl w:val="0"/>
        <w:numPr>
          <w:ilvl w:val="0"/>
          <w:numId w:val="5"/>
        </w:numPr>
        <w:suppressAutoHyphens/>
        <w:autoSpaceDN w:val="0"/>
        <w:jc w:val="both"/>
        <w:textAlignment w:val="baseline"/>
        <w:rPr>
          <w:rFonts w:eastAsia="Andale Sans UI" w:cs="Tahoma"/>
          <w:kern w:val="3"/>
          <w:lang w:eastAsia="ja-JP" w:bidi="fa-IR"/>
        </w:rPr>
      </w:pPr>
      <w:r w:rsidRPr="00096651">
        <w:rPr>
          <w:rFonts w:eastAsia="Andale Sans UI" w:cs="Tahoma"/>
          <w:kern w:val="3"/>
          <w:lang w:eastAsia="ja-JP" w:bidi="fa-IR"/>
        </w:rPr>
        <w:t xml:space="preserve">Усилить ведомственный </w:t>
      </w:r>
      <w:proofErr w:type="gramStart"/>
      <w:r w:rsidRPr="00096651">
        <w:rPr>
          <w:rFonts w:eastAsia="Andale Sans UI" w:cs="Tahoma"/>
          <w:kern w:val="3"/>
          <w:lang w:eastAsia="ja-JP" w:bidi="fa-IR"/>
        </w:rPr>
        <w:t>контроль за</w:t>
      </w:r>
      <w:proofErr w:type="gramEnd"/>
      <w:r w:rsidRPr="00096651">
        <w:rPr>
          <w:rFonts w:eastAsia="Andale Sans UI" w:cs="Tahoma"/>
          <w:kern w:val="3"/>
          <w:lang w:eastAsia="ja-JP" w:bidi="fa-IR"/>
        </w:rPr>
        <w:t xml:space="preserve"> исполнением муниципальных заданий.</w:t>
      </w:r>
    </w:p>
    <w:p w:rsidR="00096651" w:rsidRPr="00096651" w:rsidRDefault="00096651" w:rsidP="00096651">
      <w:pPr>
        <w:widowControl w:val="0"/>
        <w:suppressAutoHyphens/>
        <w:autoSpaceDN w:val="0"/>
        <w:ind w:left="1068"/>
        <w:jc w:val="both"/>
        <w:textAlignment w:val="baseline"/>
        <w:rPr>
          <w:rFonts w:eastAsia="Andale Sans UI" w:cs="Tahoma"/>
          <w:kern w:val="3"/>
          <w:lang w:eastAsia="ja-JP" w:bidi="fa-IR"/>
        </w:rPr>
      </w:pPr>
    </w:p>
    <w:p w:rsidR="00096651" w:rsidRPr="00096651" w:rsidRDefault="00096651" w:rsidP="00096651">
      <w:pPr>
        <w:widowControl w:val="0"/>
        <w:suppressAutoHyphens/>
        <w:autoSpaceDN w:val="0"/>
        <w:jc w:val="both"/>
        <w:textAlignment w:val="baseline"/>
        <w:rPr>
          <w:rFonts w:eastAsia="Andale Sans UI" w:cs="Tahoma"/>
          <w:kern w:val="3"/>
          <w:lang w:eastAsia="ja-JP" w:bidi="fa-IR"/>
        </w:rPr>
      </w:pPr>
    </w:p>
    <w:p w:rsidR="00096651" w:rsidRPr="00096651" w:rsidRDefault="00096651" w:rsidP="00096651">
      <w:pPr>
        <w:widowControl w:val="0"/>
        <w:suppressAutoHyphens/>
        <w:autoSpaceDN w:val="0"/>
        <w:jc w:val="both"/>
        <w:textAlignment w:val="baseline"/>
        <w:rPr>
          <w:rFonts w:eastAsia="Andale Sans UI" w:cs="Tahoma"/>
          <w:kern w:val="3"/>
          <w:lang w:eastAsia="ja-JP" w:bidi="fa-IR"/>
        </w:rPr>
      </w:pPr>
    </w:p>
    <w:p w:rsidR="00096651" w:rsidRPr="00096651" w:rsidRDefault="00096651" w:rsidP="00096651">
      <w:pPr>
        <w:suppressAutoHyphens/>
        <w:rPr>
          <w:b/>
          <w:lang w:eastAsia="ar-SA"/>
        </w:rPr>
      </w:pPr>
      <w:r w:rsidRPr="00096651">
        <w:rPr>
          <w:b/>
          <w:lang w:eastAsia="ar-SA"/>
        </w:rPr>
        <w:t xml:space="preserve"> И.О. Председателя </w:t>
      </w:r>
      <w:proofErr w:type="gramStart"/>
      <w:r w:rsidRPr="00096651">
        <w:rPr>
          <w:b/>
          <w:lang w:eastAsia="ar-SA"/>
        </w:rPr>
        <w:t>Контрольно-счетной</w:t>
      </w:r>
      <w:proofErr w:type="gramEnd"/>
    </w:p>
    <w:p w:rsidR="00096651" w:rsidRPr="00096651" w:rsidRDefault="00096651" w:rsidP="00096651">
      <w:pPr>
        <w:suppressAutoHyphens/>
        <w:rPr>
          <w:b/>
          <w:lang w:eastAsia="ar-SA"/>
        </w:rPr>
      </w:pPr>
      <w:r w:rsidRPr="00096651">
        <w:rPr>
          <w:b/>
          <w:lang w:eastAsia="ar-SA"/>
        </w:rPr>
        <w:t xml:space="preserve">комиссии городского округа Вичуга:                  </w:t>
      </w:r>
      <w:r w:rsidRPr="00096651">
        <w:rPr>
          <w:b/>
          <w:lang w:eastAsia="ar-SA"/>
        </w:rPr>
        <w:tab/>
        <w:t xml:space="preserve">    </w:t>
      </w:r>
      <w:r w:rsidRPr="00096651">
        <w:rPr>
          <w:b/>
          <w:lang w:eastAsia="ar-SA"/>
        </w:rPr>
        <w:tab/>
      </w:r>
      <w:r w:rsidRPr="00096651">
        <w:rPr>
          <w:b/>
          <w:lang w:eastAsia="ar-SA"/>
        </w:rPr>
        <w:tab/>
        <w:t xml:space="preserve"> Кислякова Л.А.</w:t>
      </w:r>
    </w:p>
    <w:p w:rsidR="00096651" w:rsidRPr="00096651" w:rsidRDefault="00096651" w:rsidP="00096651">
      <w:pPr>
        <w:suppressAutoHyphens/>
        <w:rPr>
          <w:sz w:val="28"/>
          <w:szCs w:val="28"/>
          <w:lang w:eastAsia="ar-SA"/>
        </w:rPr>
      </w:pPr>
    </w:p>
    <w:p w:rsidR="003A3206" w:rsidRPr="00096651" w:rsidRDefault="003A3206" w:rsidP="00096651"/>
    <w:sectPr w:rsidR="003A3206" w:rsidRPr="00096651" w:rsidSect="00F7155E">
      <w:footerReference w:type="default" r:id="rId9"/>
      <w:pgSz w:w="11906" w:h="16838"/>
      <w:pgMar w:top="709"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26" w:rsidRDefault="00752B26">
      <w:r>
        <w:separator/>
      </w:r>
    </w:p>
  </w:endnote>
  <w:endnote w:type="continuationSeparator" w:id="0">
    <w:p w:rsidR="00752B26" w:rsidRDefault="0075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51" w:rsidRDefault="00096651">
    <w:pPr>
      <w:pStyle w:val="af2"/>
    </w:pPr>
    <w:r>
      <w:fldChar w:fldCharType="begin"/>
    </w:r>
    <w:r>
      <w:instrText>PAGE   \* MERGEFORMAT</w:instrText>
    </w:r>
    <w:r>
      <w:fldChar w:fldCharType="separate"/>
    </w:r>
    <w:r w:rsidR="00F7155E">
      <w:rPr>
        <w:noProof/>
      </w:rPr>
      <w:t>6</w:t>
    </w:r>
    <w:r>
      <w:fldChar w:fldCharType="end"/>
    </w:r>
  </w:p>
  <w:p w:rsidR="00096651" w:rsidRDefault="000966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26" w:rsidRDefault="00752B26">
      <w:r>
        <w:separator/>
      </w:r>
    </w:p>
  </w:footnote>
  <w:footnote w:type="continuationSeparator" w:id="0">
    <w:p w:rsidR="00752B26" w:rsidRDefault="0075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72F34AB"/>
    <w:multiLevelType w:val="hybridMultilevel"/>
    <w:tmpl w:val="A4AE1A78"/>
    <w:lvl w:ilvl="0" w:tplc="A57E55D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5631C9"/>
    <w:multiLevelType w:val="hybridMultilevel"/>
    <w:tmpl w:val="DCCC1060"/>
    <w:lvl w:ilvl="0" w:tplc="40043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F91E0D"/>
    <w:multiLevelType w:val="hybridMultilevel"/>
    <w:tmpl w:val="D206D28A"/>
    <w:lvl w:ilvl="0" w:tplc="9FF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161CD3"/>
    <w:multiLevelType w:val="hybridMultilevel"/>
    <w:tmpl w:val="B49AFA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E865CE"/>
    <w:multiLevelType w:val="hybridMultilevel"/>
    <w:tmpl w:val="B484D8CA"/>
    <w:lvl w:ilvl="0" w:tplc="84B24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D2"/>
    <w:rsid w:val="00086640"/>
    <w:rsid w:val="00096651"/>
    <w:rsid w:val="003A3206"/>
    <w:rsid w:val="003E37CF"/>
    <w:rsid w:val="00433F1D"/>
    <w:rsid w:val="004978FA"/>
    <w:rsid w:val="004E2585"/>
    <w:rsid w:val="00512FE5"/>
    <w:rsid w:val="00752B26"/>
    <w:rsid w:val="00883AE2"/>
    <w:rsid w:val="009C429A"/>
    <w:rsid w:val="00B37FD2"/>
    <w:rsid w:val="00F7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2FE5"/>
    <w:pPr>
      <w:jc w:val="both"/>
    </w:pPr>
    <w:rPr>
      <w:sz w:val="32"/>
    </w:rPr>
  </w:style>
  <w:style w:type="character" w:customStyle="1" w:styleId="a4">
    <w:name w:val="Основной текст Знак"/>
    <w:basedOn w:val="a0"/>
    <w:link w:val="a3"/>
    <w:rsid w:val="00512FE5"/>
    <w:rPr>
      <w:rFonts w:ascii="Times New Roman" w:eastAsia="Times New Roman" w:hAnsi="Times New Roman" w:cs="Times New Roman"/>
      <w:sz w:val="32"/>
      <w:szCs w:val="24"/>
      <w:lang w:eastAsia="ru-RU"/>
    </w:rPr>
  </w:style>
  <w:style w:type="paragraph" w:styleId="2">
    <w:name w:val="Body Text 2"/>
    <w:basedOn w:val="a"/>
    <w:link w:val="20"/>
    <w:rsid w:val="00512FE5"/>
    <w:pPr>
      <w:jc w:val="both"/>
    </w:pPr>
    <w:rPr>
      <w:b/>
      <w:bCs/>
      <w:sz w:val="26"/>
    </w:rPr>
  </w:style>
  <w:style w:type="character" w:customStyle="1" w:styleId="20">
    <w:name w:val="Основной текст 2 Знак"/>
    <w:basedOn w:val="a0"/>
    <w:link w:val="2"/>
    <w:rsid w:val="00512FE5"/>
    <w:rPr>
      <w:rFonts w:ascii="Times New Roman" w:eastAsia="Times New Roman" w:hAnsi="Times New Roman" w:cs="Times New Roman"/>
      <w:b/>
      <w:bCs/>
      <w:sz w:val="26"/>
      <w:szCs w:val="24"/>
      <w:lang w:eastAsia="ru-RU"/>
    </w:rPr>
  </w:style>
  <w:style w:type="paragraph" w:styleId="3">
    <w:name w:val="Body Text 3"/>
    <w:basedOn w:val="a"/>
    <w:link w:val="30"/>
    <w:rsid w:val="00512FE5"/>
    <w:pPr>
      <w:jc w:val="both"/>
    </w:pPr>
    <w:rPr>
      <w:sz w:val="26"/>
    </w:rPr>
  </w:style>
  <w:style w:type="character" w:customStyle="1" w:styleId="30">
    <w:name w:val="Основной текст 3 Знак"/>
    <w:basedOn w:val="a0"/>
    <w:link w:val="3"/>
    <w:rsid w:val="00512FE5"/>
    <w:rPr>
      <w:rFonts w:ascii="Times New Roman" w:eastAsia="Times New Roman" w:hAnsi="Times New Roman" w:cs="Times New Roman"/>
      <w:sz w:val="26"/>
      <w:szCs w:val="24"/>
      <w:lang w:eastAsia="ru-RU"/>
    </w:rPr>
  </w:style>
  <w:style w:type="numbering" w:customStyle="1" w:styleId="1">
    <w:name w:val="Нет списка1"/>
    <w:next w:val="a2"/>
    <w:uiPriority w:val="99"/>
    <w:semiHidden/>
    <w:unhideWhenUsed/>
    <w:rsid w:val="00096651"/>
  </w:style>
  <w:style w:type="character" w:customStyle="1" w:styleId="WW8Num1z0">
    <w:name w:val="WW8Num1z0"/>
    <w:rsid w:val="00096651"/>
    <w:rPr>
      <w:rFonts w:ascii="Symbol" w:hAnsi="Symbol" w:cs="OpenSymbol"/>
    </w:rPr>
  </w:style>
  <w:style w:type="character" w:customStyle="1" w:styleId="WW8Num2z0">
    <w:name w:val="WW8Num2z0"/>
    <w:rsid w:val="00096651"/>
    <w:rPr>
      <w:rFonts w:ascii="Symbol" w:hAnsi="Symbol" w:cs="OpenSymbol"/>
    </w:rPr>
  </w:style>
  <w:style w:type="character" w:customStyle="1" w:styleId="21">
    <w:name w:val="Основной шрифт абзаца2"/>
    <w:rsid w:val="00096651"/>
  </w:style>
  <w:style w:type="character" w:customStyle="1" w:styleId="10">
    <w:name w:val="Основной шрифт абзаца1"/>
    <w:rsid w:val="00096651"/>
  </w:style>
  <w:style w:type="character" w:customStyle="1" w:styleId="a5">
    <w:name w:val="Маркеры списка"/>
    <w:rsid w:val="00096651"/>
    <w:rPr>
      <w:rFonts w:ascii="OpenSymbol" w:eastAsia="OpenSymbol" w:hAnsi="OpenSymbol" w:cs="OpenSymbol"/>
    </w:rPr>
  </w:style>
  <w:style w:type="character" w:customStyle="1" w:styleId="a6">
    <w:name w:val="Символ нумерации"/>
    <w:rsid w:val="00096651"/>
  </w:style>
  <w:style w:type="paragraph" w:customStyle="1" w:styleId="a7">
    <w:name w:val="Заголовок"/>
    <w:basedOn w:val="a"/>
    <w:next w:val="a3"/>
    <w:rsid w:val="00096651"/>
    <w:pPr>
      <w:keepNext/>
      <w:suppressAutoHyphens/>
      <w:spacing w:before="240" w:after="120"/>
    </w:pPr>
    <w:rPr>
      <w:rFonts w:ascii="Arial" w:eastAsia="Microsoft YaHei" w:hAnsi="Arial" w:cs="Mangal"/>
      <w:sz w:val="28"/>
      <w:szCs w:val="28"/>
      <w:lang w:eastAsia="ar-SA"/>
    </w:rPr>
  </w:style>
  <w:style w:type="paragraph" w:styleId="a8">
    <w:name w:val="List"/>
    <w:basedOn w:val="a3"/>
    <w:rsid w:val="00096651"/>
    <w:pPr>
      <w:suppressAutoHyphens/>
      <w:spacing w:after="120"/>
      <w:jc w:val="left"/>
    </w:pPr>
    <w:rPr>
      <w:rFonts w:cs="Mangal"/>
      <w:sz w:val="24"/>
      <w:lang w:eastAsia="ar-SA"/>
    </w:rPr>
  </w:style>
  <w:style w:type="paragraph" w:customStyle="1" w:styleId="22">
    <w:name w:val="Название2"/>
    <w:basedOn w:val="a"/>
    <w:rsid w:val="00096651"/>
    <w:pPr>
      <w:suppressLineNumbers/>
      <w:suppressAutoHyphens/>
      <w:spacing w:before="120" w:after="120"/>
    </w:pPr>
    <w:rPr>
      <w:rFonts w:cs="Mangal"/>
      <w:i/>
      <w:iCs/>
      <w:lang w:eastAsia="ar-SA"/>
    </w:rPr>
  </w:style>
  <w:style w:type="paragraph" w:customStyle="1" w:styleId="23">
    <w:name w:val="Указатель2"/>
    <w:basedOn w:val="a"/>
    <w:rsid w:val="00096651"/>
    <w:pPr>
      <w:suppressLineNumbers/>
      <w:suppressAutoHyphens/>
    </w:pPr>
    <w:rPr>
      <w:rFonts w:cs="Mangal"/>
      <w:lang w:eastAsia="ar-SA"/>
    </w:rPr>
  </w:style>
  <w:style w:type="paragraph" w:customStyle="1" w:styleId="11">
    <w:name w:val="Название1"/>
    <w:basedOn w:val="a"/>
    <w:rsid w:val="00096651"/>
    <w:pPr>
      <w:suppressLineNumbers/>
      <w:suppressAutoHyphens/>
      <w:spacing w:before="120" w:after="120"/>
    </w:pPr>
    <w:rPr>
      <w:rFonts w:cs="Mangal"/>
      <w:i/>
      <w:iCs/>
      <w:lang w:eastAsia="ar-SA"/>
    </w:rPr>
  </w:style>
  <w:style w:type="paragraph" w:customStyle="1" w:styleId="12">
    <w:name w:val="Указатель1"/>
    <w:basedOn w:val="a"/>
    <w:rsid w:val="00096651"/>
    <w:pPr>
      <w:suppressLineNumbers/>
      <w:suppressAutoHyphens/>
    </w:pPr>
    <w:rPr>
      <w:rFonts w:cs="Mangal"/>
      <w:lang w:eastAsia="ar-SA"/>
    </w:rPr>
  </w:style>
  <w:style w:type="paragraph" w:customStyle="1" w:styleId="a9">
    <w:name w:val="Знак"/>
    <w:basedOn w:val="a"/>
    <w:rsid w:val="00096651"/>
    <w:pPr>
      <w:suppressAutoHyphens/>
      <w:spacing w:before="280" w:after="280"/>
    </w:pPr>
    <w:rPr>
      <w:rFonts w:ascii="Tahoma" w:hAnsi="Tahoma" w:cs="Tahoma"/>
      <w:sz w:val="20"/>
      <w:szCs w:val="20"/>
      <w:lang w:val="en-US" w:eastAsia="ar-SA"/>
    </w:rPr>
  </w:style>
  <w:style w:type="paragraph" w:customStyle="1" w:styleId="aa">
    <w:name w:val="Содержимое врезки"/>
    <w:basedOn w:val="a3"/>
    <w:rsid w:val="00096651"/>
    <w:pPr>
      <w:suppressAutoHyphens/>
      <w:spacing w:after="120"/>
      <w:jc w:val="left"/>
    </w:pPr>
    <w:rPr>
      <w:sz w:val="24"/>
      <w:lang w:eastAsia="ar-SA"/>
    </w:rPr>
  </w:style>
  <w:style w:type="paragraph" w:customStyle="1" w:styleId="ab">
    <w:name w:val="Содержимое таблицы"/>
    <w:basedOn w:val="a"/>
    <w:rsid w:val="00096651"/>
    <w:pPr>
      <w:suppressLineNumbers/>
      <w:suppressAutoHyphens/>
    </w:pPr>
    <w:rPr>
      <w:lang w:eastAsia="ar-SA"/>
    </w:rPr>
  </w:style>
  <w:style w:type="paragraph" w:customStyle="1" w:styleId="ac">
    <w:name w:val="Заголовок таблицы"/>
    <w:basedOn w:val="ab"/>
    <w:rsid w:val="00096651"/>
    <w:pPr>
      <w:jc w:val="center"/>
    </w:pPr>
    <w:rPr>
      <w:b/>
      <w:bCs/>
    </w:rPr>
  </w:style>
  <w:style w:type="paragraph" w:styleId="ad">
    <w:name w:val="Balloon Text"/>
    <w:basedOn w:val="a"/>
    <w:link w:val="ae"/>
    <w:uiPriority w:val="99"/>
    <w:semiHidden/>
    <w:unhideWhenUsed/>
    <w:rsid w:val="00096651"/>
    <w:pPr>
      <w:suppressAutoHyphens/>
    </w:pPr>
    <w:rPr>
      <w:rFonts w:ascii="Tahoma" w:hAnsi="Tahoma" w:cs="Tahoma"/>
      <w:sz w:val="16"/>
      <w:szCs w:val="16"/>
      <w:lang w:eastAsia="ar-SA"/>
    </w:rPr>
  </w:style>
  <w:style w:type="character" w:customStyle="1" w:styleId="ae">
    <w:name w:val="Текст выноски Знак"/>
    <w:basedOn w:val="a0"/>
    <w:link w:val="ad"/>
    <w:uiPriority w:val="99"/>
    <w:semiHidden/>
    <w:rsid w:val="00096651"/>
    <w:rPr>
      <w:rFonts w:ascii="Tahoma" w:eastAsia="Times New Roman" w:hAnsi="Tahoma" w:cs="Tahoma"/>
      <w:sz w:val="16"/>
      <w:szCs w:val="16"/>
      <w:lang w:eastAsia="ar-SA"/>
    </w:rPr>
  </w:style>
  <w:style w:type="paragraph" w:customStyle="1" w:styleId="Standard">
    <w:name w:val="Standard"/>
    <w:rsid w:val="0009665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af">
    <w:name w:val="Table Grid"/>
    <w:basedOn w:val="a1"/>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96651"/>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rsid w:val="00096651"/>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096651"/>
    <w:pPr>
      <w:tabs>
        <w:tab w:val="center" w:pos="4677"/>
        <w:tab w:val="right" w:pos="9355"/>
      </w:tabs>
      <w:suppressAutoHyphens/>
    </w:pPr>
    <w:rPr>
      <w:lang w:eastAsia="ar-SA"/>
    </w:rPr>
  </w:style>
  <w:style w:type="character" w:customStyle="1" w:styleId="af3">
    <w:name w:val="Нижний колонтитул Знак"/>
    <w:basedOn w:val="a0"/>
    <w:link w:val="af2"/>
    <w:uiPriority w:val="99"/>
    <w:rsid w:val="00096651"/>
    <w:rPr>
      <w:rFonts w:ascii="Times New Roman" w:eastAsia="Times New Roman" w:hAnsi="Times New Roman" w:cs="Times New Roman"/>
      <w:sz w:val="24"/>
      <w:szCs w:val="24"/>
      <w:lang w:eastAsia="ar-SA"/>
    </w:rPr>
  </w:style>
  <w:style w:type="table" w:customStyle="1" w:styleId="13">
    <w:name w:val="Сетка таблицы1"/>
    <w:basedOn w:val="a1"/>
    <w:next w:val="af"/>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2FE5"/>
    <w:pPr>
      <w:jc w:val="both"/>
    </w:pPr>
    <w:rPr>
      <w:sz w:val="32"/>
    </w:rPr>
  </w:style>
  <w:style w:type="character" w:customStyle="1" w:styleId="a4">
    <w:name w:val="Основной текст Знак"/>
    <w:basedOn w:val="a0"/>
    <w:link w:val="a3"/>
    <w:rsid w:val="00512FE5"/>
    <w:rPr>
      <w:rFonts w:ascii="Times New Roman" w:eastAsia="Times New Roman" w:hAnsi="Times New Roman" w:cs="Times New Roman"/>
      <w:sz w:val="32"/>
      <w:szCs w:val="24"/>
      <w:lang w:eastAsia="ru-RU"/>
    </w:rPr>
  </w:style>
  <w:style w:type="paragraph" w:styleId="2">
    <w:name w:val="Body Text 2"/>
    <w:basedOn w:val="a"/>
    <w:link w:val="20"/>
    <w:rsid w:val="00512FE5"/>
    <w:pPr>
      <w:jc w:val="both"/>
    </w:pPr>
    <w:rPr>
      <w:b/>
      <w:bCs/>
      <w:sz w:val="26"/>
    </w:rPr>
  </w:style>
  <w:style w:type="character" w:customStyle="1" w:styleId="20">
    <w:name w:val="Основной текст 2 Знак"/>
    <w:basedOn w:val="a0"/>
    <w:link w:val="2"/>
    <w:rsid w:val="00512FE5"/>
    <w:rPr>
      <w:rFonts w:ascii="Times New Roman" w:eastAsia="Times New Roman" w:hAnsi="Times New Roman" w:cs="Times New Roman"/>
      <w:b/>
      <w:bCs/>
      <w:sz w:val="26"/>
      <w:szCs w:val="24"/>
      <w:lang w:eastAsia="ru-RU"/>
    </w:rPr>
  </w:style>
  <w:style w:type="paragraph" w:styleId="3">
    <w:name w:val="Body Text 3"/>
    <w:basedOn w:val="a"/>
    <w:link w:val="30"/>
    <w:rsid w:val="00512FE5"/>
    <w:pPr>
      <w:jc w:val="both"/>
    </w:pPr>
    <w:rPr>
      <w:sz w:val="26"/>
    </w:rPr>
  </w:style>
  <w:style w:type="character" w:customStyle="1" w:styleId="30">
    <w:name w:val="Основной текст 3 Знак"/>
    <w:basedOn w:val="a0"/>
    <w:link w:val="3"/>
    <w:rsid w:val="00512FE5"/>
    <w:rPr>
      <w:rFonts w:ascii="Times New Roman" w:eastAsia="Times New Roman" w:hAnsi="Times New Roman" w:cs="Times New Roman"/>
      <w:sz w:val="26"/>
      <w:szCs w:val="24"/>
      <w:lang w:eastAsia="ru-RU"/>
    </w:rPr>
  </w:style>
  <w:style w:type="numbering" w:customStyle="1" w:styleId="1">
    <w:name w:val="Нет списка1"/>
    <w:next w:val="a2"/>
    <w:uiPriority w:val="99"/>
    <w:semiHidden/>
    <w:unhideWhenUsed/>
    <w:rsid w:val="00096651"/>
  </w:style>
  <w:style w:type="character" w:customStyle="1" w:styleId="WW8Num1z0">
    <w:name w:val="WW8Num1z0"/>
    <w:rsid w:val="00096651"/>
    <w:rPr>
      <w:rFonts w:ascii="Symbol" w:hAnsi="Symbol" w:cs="OpenSymbol"/>
    </w:rPr>
  </w:style>
  <w:style w:type="character" w:customStyle="1" w:styleId="WW8Num2z0">
    <w:name w:val="WW8Num2z0"/>
    <w:rsid w:val="00096651"/>
    <w:rPr>
      <w:rFonts w:ascii="Symbol" w:hAnsi="Symbol" w:cs="OpenSymbol"/>
    </w:rPr>
  </w:style>
  <w:style w:type="character" w:customStyle="1" w:styleId="21">
    <w:name w:val="Основной шрифт абзаца2"/>
    <w:rsid w:val="00096651"/>
  </w:style>
  <w:style w:type="character" w:customStyle="1" w:styleId="10">
    <w:name w:val="Основной шрифт абзаца1"/>
    <w:rsid w:val="00096651"/>
  </w:style>
  <w:style w:type="character" w:customStyle="1" w:styleId="a5">
    <w:name w:val="Маркеры списка"/>
    <w:rsid w:val="00096651"/>
    <w:rPr>
      <w:rFonts w:ascii="OpenSymbol" w:eastAsia="OpenSymbol" w:hAnsi="OpenSymbol" w:cs="OpenSymbol"/>
    </w:rPr>
  </w:style>
  <w:style w:type="character" w:customStyle="1" w:styleId="a6">
    <w:name w:val="Символ нумерации"/>
    <w:rsid w:val="00096651"/>
  </w:style>
  <w:style w:type="paragraph" w:customStyle="1" w:styleId="a7">
    <w:name w:val="Заголовок"/>
    <w:basedOn w:val="a"/>
    <w:next w:val="a3"/>
    <w:rsid w:val="00096651"/>
    <w:pPr>
      <w:keepNext/>
      <w:suppressAutoHyphens/>
      <w:spacing w:before="240" w:after="120"/>
    </w:pPr>
    <w:rPr>
      <w:rFonts w:ascii="Arial" w:eastAsia="Microsoft YaHei" w:hAnsi="Arial" w:cs="Mangal"/>
      <w:sz w:val="28"/>
      <w:szCs w:val="28"/>
      <w:lang w:eastAsia="ar-SA"/>
    </w:rPr>
  </w:style>
  <w:style w:type="paragraph" w:styleId="a8">
    <w:name w:val="List"/>
    <w:basedOn w:val="a3"/>
    <w:rsid w:val="00096651"/>
    <w:pPr>
      <w:suppressAutoHyphens/>
      <w:spacing w:after="120"/>
      <w:jc w:val="left"/>
    </w:pPr>
    <w:rPr>
      <w:rFonts w:cs="Mangal"/>
      <w:sz w:val="24"/>
      <w:lang w:eastAsia="ar-SA"/>
    </w:rPr>
  </w:style>
  <w:style w:type="paragraph" w:customStyle="1" w:styleId="22">
    <w:name w:val="Название2"/>
    <w:basedOn w:val="a"/>
    <w:rsid w:val="00096651"/>
    <w:pPr>
      <w:suppressLineNumbers/>
      <w:suppressAutoHyphens/>
      <w:spacing w:before="120" w:after="120"/>
    </w:pPr>
    <w:rPr>
      <w:rFonts w:cs="Mangal"/>
      <w:i/>
      <w:iCs/>
      <w:lang w:eastAsia="ar-SA"/>
    </w:rPr>
  </w:style>
  <w:style w:type="paragraph" w:customStyle="1" w:styleId="23">
    <w:name w:val="Указатель2"/>
    <w:basedOn w:val="a"/>
    <w:rsid w:val="00096651"/>
    <w:pPr>
      <w:suppressLineNumbers/>
      <w:suppressAutoHyphens/>
    </w:pPr>
    <w:rPr>
      <w:rFonts w:cs="Mangal"/>
      <w:lang w:eastAsia="ar-SA"/>
    </w:rPr>
  </w:style>
  <w:style w:type="paragraph" w:customStyle="1" w:styleId="11">
    <w:name w:val="Название1"/>
    <w:basedOn w:val="a"/>
    <w:rsid w:val="00096651"/>
    <w:pPr>
      <w:suppressLineNumbers/>
      <w:suppressAutoHyphens/>
      <w:spacing w:before="120" w:after="120"/>
    </w:pPr>
    <w:rPr>
      <w:rFonts w:cs="Mangal"/>
      <w:i/>
      <w:iCs/>
      <w:lang w:eastAsia="ar-SA"/>
    </w:rPr>
  </w:style>
  <w:style w:type="paragraph" w:customStyle="1" w:styleId="12">
    <w:name w:val="Указатель1"/>
    <w:basedOn w:val="a"/>
    <w:rsid w:val="00096651"/>
    <w:pPr>
      <w:suppressLineNumbers/>
      <w:suppressAutoHyphens/>
    </w:pPr>
    <w:rPr>
      <w:rFonts w:cs="Mangal"/>
      <w:lang w:eastAsia="ar-SA"/>
    </w:rPr>
  </w:style>
  <w:style w:type="paragraph" w:customStyle="1" w:styleId="a9">
    <w:name w:val="Знак"/>
    <w:basedOn w:val="a"/>
    <w:rsid w:val="00096651"/>
    <w:pPr>
      <w:suppressAutoHyphens/>
      <w:spacing w:before="280" w:after="280"/>
    </w:pPr>
    <w:rPr>
      <w:rFonts w:ascii="Tahoma" w:hAnsi="Tahoma" w:cs="Tahoma"/>
      <w:sz w:val="20"/>
      <w:szCs w:val="20"/>
      <w:lang w:val="en-US" w:eastAsia="ar-SA"/>
    </w:rPr>
  </w:style>
  <w:style w:type="paragraph" w:customStyle="1" w:styleId="aa">
    <w:name w:val="Содержимое врезки"/>
    <w:basedOn w:val="a3"/>
    <w:rsid w:val="00096651"/>
    <w:pPr>
      <w:suppressAutoHyphens/>
      <w:spacing w:after="120"/>
      <w:jc w:val="left"/>
    </w:pPr>
    <w:rPr>
      <w:sz w:val="24"/>
      <w:lang w:eastAsia="ar-SA"/>
    </w:rPr>
  </w:style>
  <w:style w:type="paragraph" w:customStyle="1" w:styleId="ab">
    <w:name w:val="Содержимое таблицы"/>
    <w:basedOn w:val="a"/>
    <w:rsid w:val="00096651"/>
    <w:pPr>
      <w:suppressLineNumbers/>
      <w:suppressAutoHyphens/>
    </w:pPr>
    <w:rPr>
      <w:lang w:eastAsia="ar-SA"/>
    </w:rPr>
  </w:style>
  <w:style w:type="paragraph" w:customStyle="1" w:styleId="ac">
    <w:name w:val="Заголовок таблицы"/>
    <w:basedOn w:val="ab"/>
    <w:rsid w:val="00096651"/>
    <w:pPr>
      <w:jc w:val="center"/>
    </w:pPr>
    <w:rPr>
      <w:b/>
      <w:bCs/>
    </w:rPr>
  </w:style>
  <w:style w:type="paragraph" w:styleId="ad">
    <w:name w:val="Balloon Text"/>
    <w:basedOn w:val="a"/>
    <w:link w:val="ae"/>
    <w:uiPriority w:val="99"/>
    <w:semiHidden/>
    <w:unhideWhenUsed/>
    <w:rsid w:val="00096651"/>
    <w:pPr>
      <w:suppressAutoHyphens/>
    </w:pPr>
    <w:rPr>
      <w:rFonts w:ascii="Tahoma" w:hAnsi="Tahoma" w:cs="Tahoma"/>
      <w:sz w:val="16"/>
      <w:szCs w:val="16"/>
      <w:lang w:eastAsia="ar-SA"/>
    </w:rPr>
  </w:style>
  <w:style w:type="character" w:customStyle="1" w:styleId="ae">
    <w:name w:val="Текст выноски Знак"/>
    <w:basedOn w:val="a0"/>
    <w:link w:val="ad"/>
    <w:uiPriority w:val="99"/>
    <w:semiHidden/>
    <w:rsid w:val="00096651"/>
    <w:rPr>
      <w:rFonts w:ascii="Tahoma" w:eastAsia="Times New Roman" w:hAnsi="Tahoma" w:cs="Tahoma"/>
      <w:sz w:val="16"/>
      <w:szCs w:val="16"/>
      <w:lang w:eastAsia="ar-SA"/>
    </w:rPr>
  </w:style>
  <w:style w:type="paragraph" w:customStyle="1" w:styleId="Standard">
    <w:name w:val="Standard"/>
    <w:rsid w:val="0009665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af">
    <w:name w:val="Table Grid"/>
    <w:basedOn w:val="a1"/>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96651"/>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rsid w:val="00096651"/>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096651"/>
    <w:pPr>
      <w:tabs>
        <w:tab w:val="center" w:pos="4677"/>
        <w:tab w:val="right" w:pos="9355"/>
      </w:tabs>
      <w:suppressAutoHyphens/>
    </w:pPr>
    <w:rPr>
      <w:lang w:eastAsia="ar-SA"/>
    </w:rPr>
  </w:style>
  <w:style w:type="character" w:customStyle="1" w:styleId="af3">
    <w:name w:val="Нижний колонтитул Знак"/>
    <w:basedOn w:val="a0"/>
    <w:link w:val="af2"/>
    <w:uiPriority w:val="99"/>
    <w:rsid w:val="00096651"/>
    <w:rPr>
      <w:rFonts w:ascii="Times New Roman" w:eastAsia="Times New Roman" w:hAnsi="Times New Roman" w:cs="Times New Roman"/>
      <w:sz w:val="24"/>
      <w:szCs w:val="24"/>
      <w:lang w:eastAsia="ar-SA"/>
    </w:rPr>
  </w:style>
  <w:style w:type="table" w:customStyle="1" w:styleId="13">
    <w:name w:val="Сетка таблицы1"/>
    <w:basedOn w:val="a1"/>
    <w:next w:val="af"/>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0966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5D93-2530-4251-9E46-5CA069AB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2017-04-20T09:23:00Z</dcterms:created>
  <dcterms:modified xsi:type="dcterms:W3CDTF">2017-04-20T09:23:00Z</dcterms:modified>
</cp:coreProperties>
</file>