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04F" w:rsidRDefault="00BE204D">
      <w:pPr>
        <w:spacing w:line="360" w:lineRule="auto"/>
        <w:jc w:val="center"/>
        <w:rPr>
          <w:b/>
        </w:rPr>
      </w:pPr>
      <w:bookmarkStart w:id="0" w:name="_GoBack"/>
      <w:bookmarkEnd w:id="0"/>
      <w:r>
        <w:t xml:space="preserve"> </w:t>
      </w:r>
      <w:r w:rsidR="00081CE2">
        <w:t xml:space="preserve"> </w:t>
      </w:r>
      <w:r w:rsidR="00440018"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4F" w:rsidRDefault="0032504F">
      <w:pPr>
        <w:jc w:val="center"/>
        <w:rPr>
          <w:b/>
        </w:rPr>
      </w:pPr>
      <w:r>
        <w:rPr>
          <w:b/>
        </w:rPr>
        <w:t>Ивановская область</w:t>
      </w:r>
    </w:p>
    <w:p w:rsidR="0032504F" w:rsidRDefault="0032504F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32504F" w:rsidRDefault="0032504F">
      <w:pPr>
        <w:jc w:val="center"/>
      </w:pPr>
      <w:r>
        <w:rPr>
          <w:b/>
        </w:rPr>
        <w:t>Городского округа Вичуга</w:t>
      </w:r>
    </w:p>
    <w:p w:rsidR="0032504F" w:rsidRDefault="0032504F">
      <w:pPr>
        <w:jc w:val="center"/>
      </w:pPr>
    </w:p>
    <w:p w:rsidR="0032504F" w:rsidRDefault="0032504F">
      <w:pPr>
        <w:rPr>
          <w:sz w:val="20"/>
          <w:szCs w:val="20"/>
        </w:rPr>
      </w:pPr>
      <w:r>
        <w:rPr>
          <w:sz w:val="20"/>
          <w:szCs w:val="20"/>
        </w:rPr>
        <w:t xml:space="preserve">   ул. 50 лет Октября, д.19, офис 302, г. Вичуга, Ивановская область, 155331     Тел (49354) 3-70-83, 3-70-84 </w:t>
      </w:r>
    </w:p>
    <w:p w:rsidR="0032504F" w:rsidRDefault="0032504F">
      <w:pPr>
        <w:pBdr>
          <w:bottom w:val="single" w:sz="8" w:space="1" w:color="000000"/>
        </w:pBdr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32504F" w:rsidRDefault="00262D5C">
      <w:pPr>
        <w:rPr>
          <w:b/>
          <w:u w:val="single"/>
        </w:rPr>
      </w:pPr>
      <w:r>
        <w:rPr>
          <w:sz w:val="22"/>
          <w:szCs w:val="22"/>
        </w:rPr>
        <w:t>1</w:t>
      </w:r>
      <w:r w:rsidR="000E5147">
        <w:rPr>
          <w:sz w:val="22"/>
          <w:szCs w:val="22"/>
        </w:rPr>
        <w:t>7</w:t>
      </w:r>
      <w:r w:rsidR="0032504F">
        <w:rPr>
          <w:sz w:val="22"/>
          <w:szCs w:val="22"/>
        </w:rPr>
        <w:t>.</w:t>
      </w:r>
      <w:r w:rsidR="000E5147">
        <w:rPr>
          <w:sz w:val="22"/>
          <w:szCs w:val="22"/>
        </w:rPr>
        <w:t>11</w:t>
      </w:r>
      <w:r w:rsidR="0032504F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="0032504F">
        <w:rPr>
          <w:sz w:val="22"/>
          <w:szCs w:val="22"/>
        </w:rPr>
        <w:t>г.  № 0</w:t>
      </w:r>
      <w:r w:rsidR="000E5147">
        <w:rPr>
          <w:sz w:val="22"/>
          <w:szCs w:val="22"/>
        </w:rPr>
        <w:t>3</w:t>
      </w:r>
      <w:r w:rsidR="0032504F">
        <w:t xml:space="preserve"> </w:t>
      </w:r>
      <w:r w:rsidR="0032504F">
        <w:rPr>
          <w:b/>
        </w:rPr>
        <w:t xml:space="preserve">                    </w:t>
      </w:r>
    </w:p>
    <w:p w:rsidR="00AB076E" w:rsidRDefault="00AB076E">
      <w:pPr>
        <w:rPr>
          <w:b/>
          <w:u w:val="single"/>
        </w:rPr>
      </w:pPr>
    </w:p>
    <w:p w:rsidR="001B6A97" w:rsidRDefault="001B6A97">
      <w:pPr>
        <w:rPr>
          <w:b/>
          <w:u w:val="single"/>
        </w:rPr>
      </w:pPr>
    </w:p>
    <w:p w:rsidR="0032504F" w:rsidRDefault="0032504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32504F" w:rsidRDefault="0032504F">
      <w:pPr>
        <w:jc w:val="center"/>
        <w:rPr>
          <w:b/>
        </w:rPr>
      </w:pPr>
      <w:r>
        <w:rPr>
          <w:b/>
        </w:rPr>
        <w:t xml:space="preserve">по исполнению бюджета городского округа Вичуга </w:t>
      </w:r>
    </w:p>
    <w:p w:rsidR="0032504F" w:rsidRDefault="0032504F">
      <w:pPr>
        <w:jc w:val="center"/>
        <w:rPr>
          <w:b/>
        </w:rPr>
      </w:pPr>
      <w:r>
        <w:rPr>
          <w:b/>
        </w:rPr>
        <w:t xml:space="preserve">за </w:t>
      </w:r>
      <w:r w:rsidR="00394447">
        <w:rPr>
          <w:b/>
        </w:rPr>
        <w:t>девять месяцев</w:t>
      </w:r>
      <w:r w:rsidR="00465B74">
        <w:rPr>
          <w:b/>
        </w:rPr>
        <w:t xml:space="preserve"> 201</w:t>
      </w:r>
      <w:r w:rsidR="000B4FFA">
        <w:rPr>
          <w:b/>
        </w:rPr>
        <w:t>4</w:t>
      </w:r>
      <w:r>
        <w:rPr>
          <w:b/>
        </w:rPr>
        <w:t xml:space="preserve"> г</w:t>
      </w:r>
      <w:r w:rsidR="00465B74">
        <w:rPr>
          <w:b/>
        </w:rPr>
        <w:t>ода</w:t>
      </w:r>
    </w:p>
    <w:p w:rsidR="0032504F" w:rsidRDefault="0032504F" w:rsidP="00AB076E">
      <w:pPr>
        <w:rPr>
          <w:b/>
        </w:rPr>
      </w:pPr>
    </w:p>
    <w:p w:rsidR="00AB076E" w:rsidRDefault="00AB076E" w:rsidP="00AB076E">
      <w:pPr>
        <w:rPr>
          <w:b/>
        </w:rPr>
      </w:pPr>
    </w:p>
    <w:p w:rsidR="0032504F" w:rsidRDefault="0032504F" w:rsidP="001B6A97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Общие положения </w:t>
      </w:r>
    </w:p>
    <w:p w:rsidR="0032504F" w:rsidRDefault="0032504F">
      <w:pPr>
        <w:jc w:val="center"/>
        <w:rPr>
          <w:b/>
        </w:rPr>
      </w:pPr>
    </w:p>
    <w:p w:rsidR="0032504F" w:rsidRDefault="0032504F">
      <w:pPr>
        <w:ind w:firstLine="708"/>
        <w:jc w:val="both"/>
      </w:pPr>
      <w:r>
        <w:t xml:space="preserve">Заключение Контрольно-счетной комиссии городского округа Вичуга по исполнению бюджета городского округа Вичуга за </w:t>
      </w:r>
      <w:r w:rsidR="004C2445">
        <w:t>9 месяцев</w:t>
      </w:r>
      <w:r>
        <w:t xml:space="preserve"> 201</w:t>
      </w:r>
      <w:r w:rsidR="005A3DAF">
        <w:t>4</w:t>
      </w:r>
      <w:r>
        <w:t xml:space="preserve"> г. п</w:t>
      </w:r>
      <w:r w:rsidR="00830EF8">
        <w:t>одготовлено в соответствии с п.</w:t>
      </w:r>
      <w:r>
        <w:t>2.</w:t>
      </w:r>
      <w:r w:rsidR="007F2717">
        <w:t>2</w:t>
      </w:r>
      <w:r w:rsidR="00830EF8">
        <w:t>. Раздела 2 «Экспертно-аналитическая деятельность»</w:t>
      </w:r>
      <w:r>
        <w:t xml:space="preserve"> плана работы Контрольно-счетной комиссии городского округа Вичуга на </w:t>
      </w:r>
      <w:r w:rsidR="004C2445">
        <w:rPr>
          <w:lang w:val="en-US"/>
        </w:rPr>
        <w:t>IV</w:t>
      </w:r>
      <w:r w:rsidRPr="00555C8B">
        <w:t xml:space="preserve"> </w:t>
      </w:r>
      <w:r w:rsidR="00830EF8">
        <w:t>квартал 201</w:t>
      </w:r>
      <w:r w:rsidR="005A3DAF">
        <w:t>4</w:t>
      </w:r>
      <w:r>
        <w:t xml:space="preserve"> года, утвержденного распоряжением </w:t>
      </w:r>
      <w:r w:rsidR="00830EF8">
        <w:t xml:space="preserve"> </w:t>
      </w:r>
      <w:r w:rsidR="004C2445">
        <w:t xml:space="preserve">И.о. </w:t>
      </w:r>
      <w:r>
        <w:t xml:space="preserve">Председателя Контрольно-счетной комиссии городского округа Вичуга № </w:t>
      </w:r>
      <w:r w:rsidR="004C2445">
        <w:t>13</w:t>
      </w:r>
      <w:r>
        <w:t xml:space="preserve"> от </w:t>
      </w:r>
      <w:r w:rsidR="004C2445">
        <w:t>30</w:t>
      </w:r>
      <w:r>
        <w:t>.0</w:t>
      </w:r>
      <w:r w:rsidR="004C2445">
        <w:t>9</w:t>
      </w:r>
      <w:r>
        <w:t>.201</w:t>
      </w:r>
      <w:r w:rsidR="005A3DAF">
        <w:t>4</w:t>
      </w:r>
      <w:r>
        <w:t>г.</w:t>
      </w:r>
    </w:p>
    <w:p w:rsidR="0032504F" w:rsidRDefault="0032504F">
      <w:pPr>
        <w:ind w:firstLine="708"/>
        <w:jc w:val="both"/>
      </w:pPr>
      <w:r>
        <w:t xml:space="preserve">Постановление администрации городского округа Вичуга от </w:t>
      </w:r>
      <w:r w:rsidR="008F00B1">
        <w:t>31.10</w:t>
      </w:r>
      <w:r w:rsidR="00C11A3B">
        <w:t>.201</w:t>
      </w:r>
      <w:r w:rsidR="00486CE6">
        <w:t>4</w:t>
      </w:r>
      <w:r w:rsidR="00C11A3B">
        <w:t>г</w:t>
      </w:r>
      <w:r>
        <w:t>. №</w:t>
      </w:r>
      <w:r w:rsidR="008F00B1">
        <w:t>1459</w:t>
      </w:r>
      <w:r>
        <w:t xml:space="preserve"> «</w:t>
      </w:r>
      <w:r w:rsidR="00C11A3B">
        <w:t xml:space="preserve">Об исполнении бюджета городского округа Вичуга </w:t>
      </w:r>
      <w:r w:rsidR="00486CE6">
        <w:t>на 01.</w:t>
      </w:r>
      <w:r w:rsidR="008F00B1">
        <w:t>10</w:t>
      </w:r>
      <w:r w:rsidR="00486CE6">
        <w:t>.2014г.</w:t>
      </w:r>
      <w:r>
        <w:t xml:space="preserve">» поступило в </w:t>
      </w:r>
      <w:r w:rsidR="00C11A3B">
        <w:t>К</w:t>
      </w:r>
      <w:r>
        <w:t xml:space="preserve">онтрольно-счетную комиссию </w:t>
      </w:r>
      <w:r w:rsidR="008F00B1">
        <w:t>10</w:t>
      </w:r>
      <w:r w:rsidR="00C11A3B">
        <w:t>.</w:t>
      </w:r>
      <w:r w:rsidR="008F00B1">
        <w:t>11</w:t>
      </w:r>
      <w:r w:rsidR="00C11A3B">
        <w:t>.201</w:t>
      </w:r>
      <w:r w:rsidR="00486CE6">
        <w:t>4</w:t>
      </w:r>
      <w:r w:rsidR="00C11A3B">
        <w:t>г</w:t>
      </w:r>
      <w:r>
        <w:t>. Анализ исполнения бюджета проведен на основе табличного материала, представленного в составе приложений к постановлению:</w:t>
      </w:r>
    </w:p>
    <w:p w:rsidR="0032504F" w:rsidRDefault="00486CE6">
      <w:pPr>
        <w:numPr>
          <w:ilvl w:val="0"/>
          <w:numId w:val="1"/>
        </w:numPr>
        <w:ind w:left="0" w:firstLine="708"/>
        <w:jc w:val="both"/>
      </w:pPr>
      <w:r>
        <w:t>Доходы бюджета городского округа Вичуга на 01.</w:t>
      </w:r>
      <w:r w:rsidR="00B55403">
        <w:t>10</w:t>
      </w:r>
      <w:r>
        <w:t xml:space="preserve">.2014 года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32504F">
        <w:t xml:space="preserve"> (приложение №1);</w:t>
      </w:r>
    </w:p>
    <w:p w:rsidR="0032504F" w:rsidRDefault="00486CE6">
      <w:pPr>
        <w:numPr>
          <w:ilvl w:val="0"/>
          <w:numId w:val="1"/>
        </w:numPr>
        <w:ind w:left="0" w:firstLine="708"/>
        <w:jc w:val="both"/>
      </w:pPr>
      <w:r>
        <w:t>Объемы межбюджетных трансфертов, получаемых из областного бюджета бюджету городского округа Вичуга на 01.</w:t>
      </w:r>
      <w:r w:rsidR="00B55403">
        <w:t>10</w:t>
      </w:r>
      <w:r>
        <w:t>.2014 года</w:t>
      </w:r>
      <w:r w:rsidR="0032504F">
        <w:t xml:space="preserve"> (приложение №2);</w:t>
      </w:r>
    </w:p>
    <w:p w:rsidR="0032504F" w:rsidRDefault="00205822">
      <w:pPr>
        <w:numPr>
          <w:ilvl w:val="0"/>
          <w:numId w:val="1"/>
        </w:numPr>
        <w:ind w:left="0" w:firstLine="708"/>
        <w:jc w:val="both"/>
      </w:pPr>
      <w:r>
        <w:t>Доходы бюджета городского округа Вичуга на 01.</w:t>
      </w:r>
      <w:r w:rsidR="00B55403">
        <w:t>10</w:t>
      </w:r>
      <w:r>
        <w:t>.2014 года по кодам классификации доходов бюджетов</w:t>
      </w:r>
      <w:r w:rsidR="0032504F">
        <w:t xml:space="preserve"> (приложение №3);</w:t>
      </w:r>
    </w:p>
    <w:p w:rsidR="0032504F" w:rsidRDefault="00205822">
      <w:pPr>
        <w:numPr>
          <w:ilvl w:val="0"/>
          <w:numId w:val="1"/>
        </w:numPr>
        <w:ind w:left="0" w:firstLine="708"/>
        <w:jc w:val="both"/>
      </w:pPr>
      <w:r>
        <w:t>Источники внутреннего финансирования дефицита бюджета городского округа Вичуга на 01.</w:t>
      </w:r>
      <w:r w:rsidR="00B55403">
        <w:t>10</w:t>
      </w:r>
      <w:r>
        <w:t>.2014 года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  <w:r w:rsidR="0032504F">
        <w:t xml:space="preserve"> (приложение №4);</w:t>
      </w:r>
    </w:p>
    <w:p w:rsidR="0032504F" w:rsidRDefault="007A294F">
      <w:pPr>
        <w:numPr>
          <w:ilvl w:val="0"/>
          <w:numId w:val="1"/>
        </w:numPr>
        <w:ind w:left="0" w:firstLine="708"/>
        <w:jc w:val="both"/>
      </w:pPr>
      <w:r>
        <w:t>Источники внутреннего финансирования дефицита бюджета городского округа Вичуга на 01.</w:t>
      </w:r>
      <w:r w:rsidR="00B55403">
        <w:t>10</w:t>
      </w:r>
      <w:r>
        <w:t xml:space="preserve">.2014 года по кодам классификации источников финансирования дефицита бюджета </w:t>
      </w:r>
      <w:r w:rsidR="0032504F">
        <w:t xml:space="preserve"> (приложение №5);</w:t>
      </w:r>
    </w:p>
    <w:p w:rsidR="0032504F" w:rsidRDefault="00381979">
      <w:pPr>
        <w:numPr>
          <w:ilvl w:val="0"/>
          <w:numId w:val="1"/>
        </w:numPr>
        <w:ind w:left="0" w:firstLine="708"/>
        <w:jc w:val="both"/>
      </w:pPr>
      <w:r>
        <w:t>Расходы бюджета городского округа Вичуга на 01.</w:t>
      </w:r>
      <w:r w:rsidR="00B55403">
        <w:t>10</w:t>
      </w:r>
      <w:r>
        <w:t>.2014 года по разделам, подразделам</w:t>
      </w:r>
      <w:r w:rsidR="00F61100">
        <w:t>, целевым статьям, группам видов расходов бюджета городского округа Вичуга</w:t>
      </w:r>
      <w:r w:rsidR="0032504F">
        <w:t xml:space="preserve"> (приложение №6);</w:t>
      </w:r>
    </w:p>
    <w:p w:rsidR="0032504F" w:rsidRDefault="00F61100">
      <w:pPr>
        <w:numPr>
          <w:ilvl w:val="0"/>
          <w:numId w:val="1"/>
        </w:numPr>
        <w:ind w:left="0" w:firstLine="708"/>
        <w:jc w:val="both"/>
      </w:pPr>
      <w:r>
        <w:t>Расходы бюджета городского округа Вичуга на 01.</w:t>
      </w:r>
      <w:r w:rsidR="00B55403">
        <w:t>10</w:t>
      </w:r>
      <w:r>
        <w:t>.2014 года по разделам, подразделам, целевым статьям и группам видов расходов</w:t>
      </w:r>
      <w:r w:rsidR="007C6005">
        <w:t xml:space="preserve"> классификации расходов </w:t>
      </w:r>
      <w:r w:rsidR="007C6005">
        <w:lastRenderedPageBreak/>
        <w:t>бюджетов в ведомственной структуре расходов бюджета городского округа Вичуга</w:t>
      </w:r>
      <w:r w:rsidR="0032504F">
        <w:t xml:space="preserve"> (приложение №7);</w:t>
      </w:r>
    </w:p>
    <w:p w:rsidR="0032504F" w:rsidRDefault="007C6005">
      <w:pPr>
        <w:numPr>
          <w:ilvl w:val="0"/>
          <w:numId w:val="1"/>
        </w:numPr>
        <w:ind w:left="0" w:firstLine="708"/>
        <w:jc w:val="both"/>
      </w:pPr>
      <w:r>
        <w:t>Программа муниципальных внутренних заимствований бюджета городского округа Вичуга на 01.</w:t>
      </w:r>
      <w:r w:rsidR="00B55403">
        <w:t>10</w:t>
      </w:r>
      <w:r>
        <w:t xml:space="preserve">.2014 года </w:t>
      </w:r>
      <w:r w:rsidR="0032504F">
        <w:t xml:space="preserve"> (приложение №</w:t>
      </w:r>
      <w:r w:rsidR="00777867">
        <w:t>8</w:t>
      </w:r>
      <w:r w:rsidR="0032504F">
        <w:t>).</w:t>
      </w:r>
    </w:p>
    <w:p w:rsidR="0032504F" w:rsidRDefault="0032504F">
      <w:pPr>
        <w:ind w:firstLine="708"/>
        <w:jc w:val="both"/>
      </w:pPr>
    </w:p>
    <w:p w:rsidR="0032504F" w:rsidRDefault="0032504F">
      <w:pPr>
        <w:ind w:firstLine="708"/>
        <w:jc w:val="both"/>
      </w:pPr>
    </w:p>
    <w:p w:rsidR="0032504F" w:rsidRPr="00572287" w:rsidRDefault="0032504F">
      <w:pPr>
        <w:ind w:firstLine="708"/>
        <w:jc w:val="center"/>
        <w:rPr>
          <w:b/>
          <w:bCs/>
        </w:rPr>
      </w:pPr>
      <w:r w:rsidRPr="00572287">
        <w:rPr>
          <w:b/>
          <w:bCs/>
        </w:rPr>
        <w:t>2. Основные показатели, характеризующие исполнение</w:t>
      </w:r>
    </w:p>
    <w:p w:rsidR="0032504F" w:rsidRDefault="0032504F">
      <w:pPr>
        <w:ind w:firstLine="708"/>
        <w:jc w:val="center"/>
        <w:rPr>
          <w:b/>
          <w:bCs/>
        </w:rPr>
      </w:pPr>
      <w:r w:rsidRPr="00572287">
        <w:rPr>
          <w:b/>
          <w:bCs/>
        </w:rPr>
        <w:t xml:space="preserve">бюджета городского округа Вичуга за </w:t>
      </w:r>
      <w:r w:rsidR="001121AC">
        <w:rPr>
          <w:b/>
          <w:bCs/>
        </w:rPr>
        <w:t>девять месяцев</w:t>
      </w:r>
      <w:r w:rsidR="00371A92">
        <w:rPr>
          <w:b/>
          <w:bCs/>
        </w:rPr>
        <w:t xml:space="preserve"> 201</w:t>
      </w:r>
      <w:r w:rsidR="006702E4">
        <w:rPr>
          <w:b/>
          <w:bCs/>
        </w:rPr>
        <w:t>4</w:t>
      </w:r>
      <w:r w:rsidR="00371A92">
        <w:rPr>
          <w:b/>
          <w:bCs/>
        </w:rPr>
        <w:t xml:space="preserve"> года</w:t>
      </w:r>
    </w:p>
    <w:p w:rsidR="0032504F" w:rsidRDefault="0032504F" w:rsidP="00EA6C47">
      <w:pPr>
        <w:rPr>
          <w:b/>
          <w:bCs/>
        </w:rPr>
      </w:pPr>
    </w:p>
    <w:p w:rsidR="0032504F" w:rsidRDefault="0032504F">
      <w:pPr>
        <w:ind w:firstLine="708"/>
        <w:jc w:val="both"/>
        <w:rPr>
          <w:b/>
          <w:bCs/>
        </w:rPr>
      </w:pPr>
      <w:r w:rsidRPr="00AA3ED1">
        <w:t>Реш</w:t>
      </w:r>
      <w:r>
        <w:t xml:space="preserve">ением городской Думы городского округа Вичуга от </w:t>
      </w:r>
      <w:r w:rsidR="00BB27CE">
        <w:t>19</w:t>
      </w:r>
      <w:r>
        <w:t>.12.201</w:t>
      </w:r>
      <w:r w:rsidR="00BB27CE">
        <w:t>3</w:t>
      </w:r>
      <w:r>
        <w:t xml:space="preserve">г. № </w:t>
      </w:r>
      <w:r w:rsidR="00371A92">
        <w:t>11</w:t>
      </w:r>
      <w:r w:rsidR="00BB27CE">
        <w:t>5</w:t>
      </w:r>
      <w:r>
        <w:t xml:space="preserve"> «О бюджете городского округа Вичуга на 201</w:t>
      </w:r>
      <w:r w:rsidR="00BB27CE">
        <w:t>4</w:t>
      </w:r>
      <w:r w:rsidR="00371A92">
        <w:t xml:space="preserve"> год и</w:t>
      </w:r>
      <w:r>
        <w:t xml:space="preserve"> плановый период 201</w:t>
      </w:r>
      <w:r w:rsidR="00BB27CE">
        <w:t>5</w:t>
      </w:r>
      <w:r>
        <w:t xml:space="preserve"> и 201</w:t>
      </w:r>
      <w:r w:rsidR="00BB27CE">
        <w:t>6</w:t>
      </w:r>
      <w:r>
        <w:t xml:space="preserve"> годов» утверждены  следующие показатели бюджета городского округа Вичуга:</w:t>
      </w:r>
    </w:p>
    <w:p w:rsidR="0032504F" w:rsidRDefault="0032504F">
      <w:pPr>
        <w:ind w:firstLine="708"/>
        <w:jc w:val="both"/>
        <w:rPr>
          <w:b/>
          <w:bCs/>
        </w:rPr>
      </w:pPr>
      <w:r>
        <w:rPr>
          <w:b/>
          <w:bCs/>
        </w:rPr>
        <w:t>доходы</w:t>
      </w:r>
      <w:r>
        <w:t xml:space="preserve"> на 201</w:t>
      </w:r>
      <w:r w:rsidR="00BB27CE">
        <w:t>4</w:t>
      </w:r>
      <w:r w:rsidR="00EC5543">
        <w:t xml:space="preserve"> </w:t>
      </w:r>
      <w:r>
        <w:t xml:space="preserve">год в сумме </w:t>
      </w:r>
      <w:r w:rsidR="00BB27CE">
        <w:t>417873,7</w:t>
      </w:r>
      <w:r>
        <w:t xml:space="preserve"> тыс. рублей;</w:t>
      </w:r>
    </w:p>
    <w:p w:rsidR="0032504F" w:rsidRDefault="0032504F">
      <w:pPr>
        <w:ind w:firstLine="708"/>
        <w:jc w:val="both"/>
        <w:rPr>
          <w:b/>
          <w:bCs/>
        </w:rPr>
      </w:pPr>
      <w:r>
        <w:rPr>
          <w:b/>
          <w:bCs/>
        </w:rPr>
        <w:t>расходы</w:t>
      </w:r>
      <w:r>
        <w:t xml:space="preserve"> на 201</w:t>
      </w:r>
      <w:r w:rsidR="00BB27CE">
        <w:t>4</w:t>
      </w:r>
      <w:r>
        <w:t xml:space="preserve"> год в сумме </w:t>
      </w:r>
      <w:r w:rsidR="00BB27CE">
        <w:t>420526,1</w:t>
      </w:r>
      <w:r>
        <w:t xml:space="preserve"> тыс. рублей;</w:t>
      </w:r>
    </w:p>
    <w:p w:rsidR="0032504F" w:rsidRDefault="0032504F">
      <w:pPr>
        <w:ind w:firstLine="708"/>
        <w:jc w:val="both"/>
      </w:pPr>
      <w:r>
        <w:rPr>
          <w:b/>
          <w:bCs/>
        </w:rPr>
        <w:t>размер дефицита</w:t>
      </w:r>
      <w:r>
        <w:t xml:space="preserve"> на 201</w:t>
      </w:r>
      <w:r w:rsidR="00323556">
        <w:t>4</w:t>
      </w:r>
      <w:r>
        <w:t xml:space="preserve"> год в сумме </w:t>
      </w:r>
      <w:r w:rsidR="00323556">
        <w:t>2652,4</w:t>
      </w:r>
      <w:r>
        <w:t xml:space="preserve"> тыс. рублей.</w:t>
      </w:r>
    </w:p>
    <w:p w:rsidR="0032504F" w:rsidRDefault="0032504F">
      <w:pPr>
        <w:jc w:val="both"/>
      </w:pPr>
      <w:r>
        <w:t xml:space="preserve">          В ходе анализа отчета об исполнении бюджета городского округа Вичуга за </w:t>
      </w:r>
      <w:r w:rsidR="00AC61DB">
        <w:t>девять месяцев</w:t>
      </w:r>
      <w:r w:rsidR="00401EC7">
        <w:t xml:space="preserve"> 201</w:t>
      </w:r>
      <w:r w:rsidR="008B6D39">
        <w:t>4</w:t>
      </w:r>
      <w:r w:rsidR="00401EC7">
        <w:t xml:space="preserve"> года</w:t>
      </w:r>
      <w:r w:rsidR="004B6DE3">
        <w:t>, Решений городской Думы городского округа Вичуга «О внесении изменений в решение городской Думы городского округа Вичуга  от 19.12.2013г. №115 «О бюджете городского округа Вичуга</w:t>
      </w:r>
      <w:r w:rsidR="00C96A98">
        <w:t xml:space="preserve"> на 2014 год и плановый период 2015 и 2016 годов»</w:t>
      </w:r>
      <w:r>
        <w:t xml:space="preserve">, установлено, что годовые бюджетные назначения по доходам и расходам </w:t>
      </w:r>
      <w:r w:rsidR="00BD596C">
        <w:t>на 01.</w:t>
      </w:r>
      <w:r w:rsidR="00D2533C">
        <w:t>10</w:t>
      </w:r>
      <w:r w:rsidR="00BD596C">
        <w:t xml:space="preserve">.2014г. </w:t>
      </w:r>
      <w:r>
        <w:t xml:space="preserve">отличны от бюджетных назначений, утвержденных решением городской Думы от </w:t>
      </w:r>
      <w:r w:rsidR="00BD596C">
        <w:t>19</w:t>
      </w:r>
      <w:r>
        <w:t>.12.201</w:t>
      </w:r>
      <w:r w:rsidR="00BD596C">
        <w:t>3</w:t>
      </w:r>
      <w:r w:rsidR="00404712">
        <w:t>г. №11</w:t>
      </w:r>
      <w:r w:rsidR="00BD596C">
        <w:t>5</w:t>
      </w:r>
      <w:r>
        <w:t xml:space="preserve"> (таблица №1)</w:t>
      </w:r>
    </w:p>
    <w:p w:rsidR="0032504F" w:rsidRDefault="0032504F">
      <w:pPr>
        <w:jc w:val="both"/>
      </w:pPr>
    </w:p>
    <w:p w:rsidR="0032504F" w:rsidRPr="001B6A97" w:rsidRDefault="0032504F" w:rsidP="001B6A97">
      <w:pPr>
        <w:jc w:val="right"/>
        <w:rPr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A97">
        <w:rPr>
          <w:sz w:val="22"/>
          <w:szCs w:val="22"/>
        </w:rPr>
        <w:t xml:space="preserve">  Таблица №1</w:t>
      </w:r>
      <w:r w:rsidRPr="001B6A97">
        <w:rPr>
          <w:sz w:val="22"/>
          <w:szCs w:val="22"/>
        </w:rPr>
        <w:tab/>
        <w:t>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1866"/>
        <w:gridCol w:w="1814"/>
        <w:gridCol w:w="1871"/>
      </w:tblGrid>
      <w:tr w:rsidR="0032504F" w:rsidRPr="00AB076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076E">
              <w:rPr>
                <w:b/>
                <w:bCs/>
                <w:i/>
                <w:iCs/>
                <w:sz w:val="22"/>
                <w:szCs w:val="22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 w:rsidP="00C83337">
            <w:pPr>
              <w:pStyle w:val="aa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076E">
              <w:rPr>
                <w:b/>
                <w:bCs/>
                <w:i/>
                <w:iCs/>
                <w:sz w:val="22"/>
                <w:szCs w:val="22"/>
              </w:rPr>
              <w:t xml:space="preserve">Утверждено решением о бюджете от </w:t>
            </w:r>
            <w:r w:rsidR="00C83337">
              <w:rPr>
                <w:b/>
                <w:bCs/>
                <w:i/>
                <w:iCs/>
                <w:sz w:val="22"/>
                <w:szCs w:val="22"/>
              </w:rPr>
              <w:t>19</w:t>
            </w:r>
            <w:r w:rsidRPr="00AB076E">
              <w:rPr>
                <w:b/>
                <w:bCs/>
                <w:i/>
                <w:iCs/>
                <w:sz w:val="22"/>
                <w:szCs w:val="22"/>
              </w:rPr>
              <w:t>.12.201</w:t>
            </w:r>
            <w:r w:rsidR="00C83337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AB076E">
              <w:rPr>
                <w:b/>
                <w:bCs/>
                <w:i/>
                <w:iCs/>
                <w:sz w:val="22"/>
                <w:szCs w:val="22"/>
              </w:rPr>
              <w:t>г №</w:t>
            </w:r>
            <w:r w:rsidR="00344D3E" w:rsidRPr="00AB076E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C83337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907620" w:rsidP="00503D34">
            <w:pPr>
              <w:pStyle w:val="aa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F1E3D">
              <w:rPr>
                <w:b/>
                <w:bCs/>
                <w:i/>
                <w:iCs/>
                <w:sz w:val="22"/>
                <w:szCs w:val="22"/>
              </w:rPr>
              <w:t xml:space="preserve">Утверждено решением </w:t>
            </w:r>
            <w:r w:rsidR="00D53223" w:rsidRPr="001F1E3D">
              <w:rPr>
                <w:b/>
                <w:bCs/>
                <w:i/>
                <w:iCs/>
                <w:sz w:val="22"/>
                <w:szCs w:val="22"/>
              </w:rPr>
              <w:t xml:space="preserve">о внесении изменений в бюджет </w:t>
            </w:r>
            <w:r w:rsidRPr="001F1E3D">
              <w:rPr>
                <w:b/>
                <w:bCs/>
                <w:i/>
                <w:iCs/>
                <w:sz w:val="22"/>
                <w:szCs w:val="22"/>
              </w:rPr>
              <w:t xml:space="preserve">от </w:t>
            </w:r>
            <w:r w:rsidR="00503D34">
              <w:rPr>
                <w:b/>
                <w:bCs/>
                <w:i/>
                <w:iCs/>
                <w:sz w:val="22"/>
                <w:szCs w:val="22"/>
              </w:rPr>
              <w:t>25.09</w:t>
            </w:r>
            <w:r w:rsidRPr="001F1E3D">
              <w:rPr>
                <w:b/>
                <w:bCs/>
                <w:i/>
                <w:iCs/>
                <w:sz w:val="22"/>
                <w:szCs w:val="22"/>
              </w:rPr>
              <w:t>.2014г. №</w:t>
            </w:r>
            <w:r w:rsidR="00503D34">
              <w:rPr>
                <w:b/>
                <w:bCs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AB076E">
              <w:rPr>
                <w:b/>
                <w:bCs/>
                <w:i/>
                <w:iCs/>
                <w:sz w:val="22"/>
                <w:szCs w:val="22"/>
              </w:rPr>
              <w:t>Отклонение (+/-)</w:t>
            </w:r>
          </w:p>
        </w:tc>
      </w:tr>
      <w:tr w:rsidR="0032504F" w:rsidRPr="00AB076E">
        <w:tc>
          <w:tcPr>
            <w:tcW w:w="93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2B1A21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114974,0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123511,3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 w:rsidP="00FA6D54">
            <w:pPr>
              <w:pStyle w:val="aa"/>
              <w:tabs>
                <w:tab w:val="left" w:pos="408"/>
                <w:tab w:val="center" w:pos="8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+8537,3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2B1A21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302899,7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380649,1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 w:rsidP="00344D3E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+77749,4</w:t>
            </w:r>
          </w:p>
        </w:tc>
      </w:tr>
      <w:tr w:rsidR="002B1A21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21" w:rsidRPr="00AB076E" w:rsidRDefault="002B1A21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21" w:rsidRDefault="00F3722A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302899,7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21" w:rsidRPr="00AB076E" w:rsidRDefault="00EE3A57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395508,2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A21" w:rsidRPr="00AB076E" w:rsidRDefault="00EE3A57" w:rsidP="00344D3E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+92608,5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F372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164963,2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164963,2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F372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88695,4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+88695,4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F372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137936,5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141849,6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+3913,1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F372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EE3A57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E32C1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DCF" w:rsidRPr="00DD1ABE" w:rsidRDefault="004E32C1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DD1ABE">
              <w:rPr>
                <w:b/>
                <w:sz w:val="22"/>
                <w:szCs w:val="22"/>
              </w:rPr>
              <w:t xml:space="preserve">Доходы бюджетов бюджетной </w:t>
            </w:r>
            <w:r w:rsidRPr="00DD1ABE">
              <w:rPr>
                <w:b/>
                <w:sz w:val="22"/>
                <w:szCs w:val="22"/>
              </w:rPr>
              <w:lastRenderedPageBreak/>
              <w:t>системы Российской Федерации от возврата бюджетами бюджетной системы Российской Федерации и организациями остатков субсидий</w:t>
            </w:r>
            <w:r w:rsidR="008E7DCF" w:rsidRPr="00DD1ABE">
              <w:rPr>
                <w:b/>
                <w:sz w:val="22"/>
                <w:szCs w:val="22"/>
              </w:rPr>
              <w:t xml:space="preserve">, субвенций и иных межбюджетных трансфертов, имеющих целевое </w:t>
            </w:r>
          </w:p>
          <w:p w:rsidR="004E32C1" w:rsidRPr="00DD1ABE" w:rsidRDefault="008E7DC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DD1ABE">
              <w:rPr>
                <w:b/>
                <w:sz w:val="22"/>
                <w:szCs w:val="22"/>
              </w:rPr>
              <w:t>назначение, прошлых лет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2C1" w:rsidRPr="00DD1ABE" w:rsidRDefault="00F3722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DD1ABE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2C1" w:rsidRPr="00DD1ABE" w:rsidRDefault="00EE3A57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33,8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2C1" w:rsidRPr="00DD1ABE" w:rsidRDefault="00EE3A57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+33,8</w:t>
            </w:r>
          </w:p>
        </w:tc>
      </w:tr>
      <w:tr w:rsidR="008E7DC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DCF" w:rsidRPr="00F3722A" w:rsidRDefault="00876BAB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F3722A">
              <w:rPr>
                <w:b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DCF" w:rsidRPr="00F3722A" w:rsidRDefault="00F3722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F372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DCF" w:rsidRPr="00F3722A" w:rsidRDefault="00EE3A57" w:rsidP="00303745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-14892,9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DCF" w:rsidRPr="00F3722A" w:rsidRDefault="00EE3A57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-14892,9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417873,7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D002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504160,4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3D002D" w:rsidP="00C83337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+86286,7</w:t>
            </w:r>
          </w:p>
        </w:tc>
      </w:tr>
      <w:tr w:rsidR="0032504F" w:rsidRPr="00AB076E">
        <w:tc>
          <w:tcPr>
            <w:tcW w:w="93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center"/>
              <w:rPr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2504F" w:rsidRPr="00AB076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41029,5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41946,2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+916,7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2374,2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2449,2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+75,0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12745,2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20561,1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9430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+7815,9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42162,2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121925,3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+79763,1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272491,3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287761,9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+15270,6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28275,4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31790,5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+3515,1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9507,8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18819,9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+9312,1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10538,6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10786,6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+248,0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1201,9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1201,9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04F" w:rsidRPr="00AB076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sz w:val="22"/>
                <w:szCs w:val="22"/>
              </w:rPr>
            </w:pPr>
            <w:r w:rsidRPr="00AB076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>
            <w:pPr>
              <w:pStyle w:val="a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4B3F0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420526,1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37AB1" w:rsidP="0000000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537442,6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37AB1" w:rsidP="0000000C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+116916,5</w:t>
            </w:r>
          </w:p>
        </w:tc>
      </w:tr>
      <w:tr w:rsidR="0032504F" w:rsidRPr="00AB076E"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32504F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AB076E">
              <w:rPr>
                <w:b/>
                <w:bCs/>
                <w:sz w:val="22"/>
                <w:szCs w:val="22"/>
              </w:rPr>
              <w:t>РЕЗУЛЬТАТ ИСПОЛНЕНИЯ БЮДЖЕТА (ПРОФИЦИТ «+». ДЕФИЦИТ «-»)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FD72B1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-2652,4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04F" w:rsidRPr="00AB076E" w:rsidRDefault="00D079F8" w:rsidP="00821C6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-33282,2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04F" w:rsidRPr="00AB076E" w:rsidRDefault="00D016CA" w:rsidP="007A267E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-30629,8</w:t>
            </w:r>
          </w:p>
        </w:tc>
      </w:tr>
    </w:tbl>
    <w:p w:rsidR="0032504F" w:rsidRDefault="0032504F">
      <w:pPr>
        <w:jc w:val="both"/>
      </w:pPr>
    </w:p>
    <w:p w:rsidR="0032504F" w:rsidRDefault="0032504F">
      <w:pPr>
        <w:jc w:val="both"/>
      </w:pPr>
      <w:r>
        <w:tab/>
      </w:r>
      <w:r w:rsidRPr="00E40B8D">
        <w:rPr>
          <w:b/>
        </w:rPr>
        <w:t>Бюджетные назначения по доходам</w:t>
      </w:r>
      <w:r>
        <w:t xml:space="preserve"> по </w:t>
      </w:r>
      <w:r w:rsidR="00A41B4F">
        <w:t>данным на 01.</w:t>
      </w:r>
      <w:r w:rsidR="0004364A">
        <w:t>10</w:t>
      </w:r>
      <w:r w:rsidR="00A41B4F">
        <w:t>.2014г. (Решение городской Думы городского округа Вичуга от 2</w:t>
      </w:r>
      <w:r w:rsidR="0004364A">
        <w:t>5</w:t>
      </w:r>
      <w:r w:rsidR="00A41B4F">
        <w:t>.0</w:t>
      </w:r>
      <w:r w:rsidR="0004364A">
        <w:t>9</w:t>
      </w:r>
      <w:r w:rsidR="00A41B4F">
        <w:t>.2014 №</w:t>
      </w:r>
      <w:r w:rsidR="0004364A">
        <w:t>51</w:t>
      </w:r>
      <w:r w:rsidR="00A41B4F">
        <w:t xml:space="preserve"> «О внесении изменений в решение городской Думы городского округа Вичуга</w:t>
      </w:r>
      <w:r w:rsidR="00E40B8D">
        <w:t xml:space="preserve"> от 19.12.2013г. №115 «О бюджете городского округа Вичуга на 2014 год и плановый период 2015 и 2016 годов»</w:t>
      </w:r>
      <w:r>
        <w:t xml:space="preserve"> </w:t>
      </w:r>
      <w:r w:rsidRPr="00572643">
        <w:t>н</w:t>
      </w:r>
      <w:r>
        <w:t xml:space="preserve">а </w:t>
      </w:r>
      <w:r w:rsidR="00572643" w:rsidRPr="00827F8F">
        <w:rPr>
          <w:b/>
        </w:rPr>
        <w:t>86286,7</w:t>
      </w:r>
      <w:r w:rsidR="00E40B8D">
        <w:t xml:space="preserve"> </w:t>
      </w:r>
      <w:r>
        <w:t xml:space="preserve">тыс. рублей больше показателей, утвержденных решением городской Думы городского округа Вичуга от </w:t>
      </w:r>
      <w:r w:rsidR="00E40B8D">
        <w:t>19</w:t>
      </w:r>
      <w:r w:rsidR="004F71F7">
        <w:t>.12.201</w:t>
      </w:r>
      <w:r w:rsidR="00E40B8D">
        <w:t>3</w:t>
      </w:r>
      <w:r w:rsidR="004F71F7">
        <w:t>г. №11</w:t>
      </w:r>
      <w:r w:rsidR="00E40B8D">
        <w:t>5</w:t>
      </w:r>
      <w:r>
        <w:t>:</w:t>
      </w:r>
    </w:p>
    <w:p w:rsidR="0032504F" w:rsidRDefault="004D741B" w:rsidP="00313534">
      <w:pPr>
        <w:numPr>
          <w:ilvl w:val="1"/>
          <w:numId w:val="2"/>
        </w:numPr>
        <w:jc w:val="both"/>
      </w:pPr>
      <w:r>
        <w:t>налоговые и не</w:t>
      </w:r>
      <w:r w:rsidR="0032504F">
        <w:t xml:space="preserve">налоговые поступления увеличились на </w:t>
      </w:r>
      <w:r w:rsidR="00572643">
        <w:t>8537,3</w:t>
      </w:r>
      <w:r w:rsidR="0032504F">
        <w:t xml:space="preserve"> тыс. рублей, в основном за счет увеличения доходов от продажи материальных и нематериальных активов;</w:t>
      </w:r>
    </w:p>
    <w:p w:rsidR="0032504F" w:rsidRDefault="0032504F" w:rsidP="008E103E">
      <w:pPr>
        <w:numPr>
          <w:ilvl w:val="1"/>
          <w:numId w:val="2"/>
        </w:numPr>
        <w:jc w:val="both"/>
      </w:pPr>
      <w:r w:rsidRPr="001D5F21">
        <w:t>безвозмездные</w:t>
      </w:r>
      <w:r>
        <w:t xml:space="preserve"> поступления увеличились на </w:t>
      </w:r>
      <w:r w:rsidR="00787FB4">
        <w:t>92608,5</w:t>
      </w:r>
      <w:r w:rsidR="008E103E">
        <w:t xml:space="preserve"> </w:t>
      </w:r>
      <w:r>
        <w:t xml:space="preserve">тыс. рублей, в основном за счет увеличения сумм субсидий и субвенций бюджетам субъектов Российской Федерации и муниципальных образований. </w:t>
      </w:r>
    </w:p>
    <w:p w:rsidR="0032504F" w:rsidRDefault="0032504F">
      <w:pPr>
        <w:jc w:val="both"/>
      </w:pPr>
      <w:r>
        <w:t xml:space="preserve"> </w:t>
      </w:r>
      <w:r>
        <w:tab/>
        <w:t xml:space="preserve">Наличие отклонений по годовым бюджетным назначениям по расходам в сумме </w:t>
      </w:r>
      <w:r w:rsidR="008E103E" w:rsidRPr="00827F8F">
        <w:rPr>
          <w:b/>
        </w:rPr>
        <w:t>+</w:t>
      </w:r>
      <w:r w:rsidR="00827F8F" w:rsidRPr="00827F8F">
        <w:rPr>
          <w:b/>
        </w:rPr>
        <w:t>116916,5</w:t>
      </w:r>
      <w:r w:rsidR="008E103E">
        <w:t xml:space="preserve"> </w:t>
      </w:r>
      <w:r>
        <w:t>тыс. рублей связано с внесением изменений в сводную бюджетную роспись на основании статьи 217 Бюджетного Кодекса Российской Федерации.</w:t>
      </w:r>
    </w:p>
    <w:p w:rsidR="0032504F" w:rsidRDefault="0032504F">
      <w:pPr>
        <w:jc w:val="both"/>
      </w:pPr>
      <w:r>
        <w:tab/>
      </w:r>
      <w:r w:rsidRPr="000079C1">
        <w:t>За</w:t>
      </w:r>
      <w:r>
        <w:t xml:space="preserve"> </w:t>
      </w:r>
      <w:r w:rsidR="009E50DD">
        <w:t>девять месяцев</w:t>
      </w:r>
      <w:r>
        <w:t xml:space="preserve"> текущего года в бюджет городского округа Вичуга поступило </w:t>
      </w:r>
      <w:r w:rsidR="00497799">
        <w:rPr>
          <w:b/>
          <w:bCs/>
        </w:rPr>
        <w:t>344593,7</w:t>
      </w:r>
      <w:r w:rsidRPr="003E5297">
        <w:rPr>
          <w:b/>
          <w:bCs/>
        </w:rPr>
        <w:t xml:space="preserve"> тыс. рублей доходов</w:t>
      </w:r>
      <w:r w:rsidRPr="003E5297">
        <w:t xml:space="preserve">, что составляет </w:t>
      </w:r>
      <w:r w:rsidR="00497799">
        <w:rPr>
          <w:b/>
        </w:rPr>
        <w:t>68,35</w:t>
      </w:r>
      <w:r w:rsidRPr="003E5297">
        <w:t>% по отношению к годовым плановым назначениям (</w:t>
      </w:r>
      <w:r w:rsidR="00497799">
        <w:t>504160,4</w:t>
      </w:r>
      <w:r w:rsidR="0081672F" w:rsidRPr="003E5297">
        <w:t xml:space="preserve"> </w:t>
      </w:r>
      <w:r w:rsidRPr="003E5297">
        <w:t>тыс. рублей).</w:t>
      </w:r>
    </w:p>
    <w:p w:rsidR="0032504F" w:rsidRDefault="0032504F">
      <w:pPr>
        <w:jc w:val="both"/>
      </w:pPr>
      <w:r>
        <w:tab/>
      </w:r>
      <w:r>
        <w:rPr>
          <w:b/>
          <w:bCs/>
        </w:rPr>
        <w:t>Расходы</w:t>
      </w:r>
      <w:r>
        <w:t xml:space="preserve"> из бюджета городского округа Вичуга за </w:t>
      </w:r>
      <w:r w:rsidR="009E50DD">
        <w:t>девять месяцев</w:t>
      </w:r>
      <w:r>
        <w:t xml:space="preserve"> текущего года произведены в сумме </w:t>
      </w:r>
      <w:r w:rsidR="009E50DD">
        <w:rPr>
          <w:b/>
          <w:bCs/>
        </w:rPr>
        <w:t>294384,0</w:t>
      </w:r>
      <w:r w:rsidRPr="003E5297">
        <w:rPr>
          <w:b/>
          <w:bCs/>
        </w:rPr>
        <w:t xml:space="preserve"> тыс. рублей</w:t>
      </w:r>
      <w:r w:rsidRPr="003E5297">
        <w:t xml:space="preserve">, что составляет </w:t>
      </w:r>
      <w:r w:rsidR="009E50DD">
        <w:rPr>
          <w:b/>
        </w:rPr>
        <w:t>54,77</w:t>
      </w:r>
      <w:r w:rsidRPr="003E5297">
        <w:t>% к годовым бюджетным назначениям (</w:t>
      </w:r>
      <w:r w:rsidR="009E50DD">
        <w:t>537442,6</w:t>
      </w:r>
      <w:r w:rsidRPr="003E5297">
        <w:t xml:space="preserve"> тыс. рублей).</w:t>
      </w:r>
    </w:p>
    <w:p w:rsidR="0032504F" w:rsidRDefault="0032504F">
      <w:pPr>
        <w:jc w:val="both"/>
      </w:pPr>
      <w:r>
        <w:tab/>
      </w:r>
      <w:r w:rsidR="009E50DD">
        <w:t>За девять месяцев</w:t>
      </w:r>
      <w:r>
        <w:t xml:space="preserve"> текущего года бюджет городского округа Вичуга характеризуется превышением доходов над расходами </w:t>
      </w:r>
      <w:r w:rsidR="00574950">
        <w:t xml:space="preserve">(профицит </w:t>
      </w:r>
      <w:r>
        <w:t>бюджета</w:t>
      </w:r>
      <w:r w:rsidR="00574950">
        <w:t>)</w:t>
      </w:r>
      <w:r>
        <w:t xml:space="preserve"> в сумме </w:t>
      </w:r>
      <w:r w:rsidR="00A16A51" w:rsidRPr="008B5A81">
        <w:rPr>
          <w:b/>
        </w:rPr>
        <w:t>50209,7</w:t>
      </w:r>
      <w:r>
        <w:t xml:space="preserve"> тыс. рублей.</w:t>
      </w:r>
    </w:p>
    <w:p w:rsidR="0032504F" w:rsidRDefault="0032504F">
      <w:pPr>
        <w:jc w:val="center"/>
      </w:pPr>
    </w:p>
    <w:p w:rsidR="0032504F" w:rsidRDefault="0032504F">
      <w:pPr>
        <w:numPr>
          <w:ilvl w:val="3"/>
          <w:numId w:val="3"/>
        </w:numPr>
        <w:jc w:val="center"/>
        <w:rPr>
          <w:b/>
          <w:bCs/>
        </w:rPr>
      </w:pPr>
      <w:r w:rsidRPr="00857477">
        <w:rPr>
          <w:b/>
          <w:bCs/>
        </w:rPr>
        <w:t>Анализ</w:t>
      </w:r>
      <w:r>
        <w:rPr>
          <w:b/>
          <w:bCs/>
        </w:rPr>
        <w:t xml:space="preserve"> исполнения бюджета городского округа Вичуга</w:t>
      </w:r>
    </w:p>
    <w:p w:rsidR="0032504F" w:rsidRDefault="0032504F" w:rsidP="008905A9">
      <w:pPr>
        <w:jc w:val="center"/>
        <w:rPr>
          <w:b/>
          <w:bCs/>
        </w:rPr>
      </w:pPr>
      <w:r>
        <w:rPr>
          <w:b/>
          <w:bCs/>
        </w:rPr>
        <w:t xml:space="preserve"> по доходам за </w:t>
      </w:r>
      <w:r w:rsidR="007A2A29">
        <w:rPr>
          <w:b/>
          <w:bCs/>
        </w:rPr>
        <w:t>девять мес</w:t>
      </w:r>
      <w:r w:rsidR="00F73CED">
        <w:rPr>
          <w:b/>
          <w:bCs/>
        </w:rPr>
        <w:t>я</w:t>
      </w:r>
      <w:r w:rsidR="007A2A29">
        <w:rPr>
          <w:b/>
          <w:bCs/>
        </w:rPr>
        <w:t>цев</w:t>
      </w:r>
      <w:r w:rsidR="008905A9">
        <w:rPr>
          <w:b/>
          <w:bCs/>
        </w:rPr>
        <w:t xml:space="preserve"> 201</w:t>
      </w:r>
      <w:r w:rsidR="004E6A94">
        <w:rPr>
          <w:b/>
          <w:bCs/>
        </w:rPr>
        <w:t>4</w:t>
      </w:r>
      <w:r w:rsidR="008905A9">
        <w:rPr>
          <w:b/>
          <w:bCs/>
        </w:rPr>
        <w:t xml:space="preserve"> г.</w:t>
      </w:r>
    </w:p>
    <w:p w:rsidR="00E9357C" w:rsidRDefault="00E9357C" w:rsidP="008905A9">
      <w:pPr>
        <w:jc w:val="center"/>
      </w:pPr>
    </w:p>
    <w:p w:rsidR="0032504F" w:rsidRDefault="0032504F">
      <w:pPr>
        <w:jc w:val="both"/>
      </w:pPr>
      <w:r>
        <w:tab/>
      </w:r>
      <w:r w:rsidRPr="00A03CD9">
        <w:t xml:space="preserve">В доходах бюджета городского округа Вичуга налоговые и не налоговые доходы составили </w:t>
      </w:r>
      <w:r w:rsidR="00163005" w:rsidRPr="00A03CD9">
        <w:t>92108,5</w:t>
      </w:r>
      <w:r w:rsidRPr="00A03CD9">
        <w:t xml:space="preserve"> тыс. рублей, или </w:t>
      </w:r>
      <w:r w:rsidR="00163005" w:rsidRPr="00A03CD9">
        <w:t>26,73</w:t>
      </w:r>
      <w:r w:rsidRPr="00A03CD9">
        <w:t>% от общей суммы средств, поступивших в доход бюджета городского округа Вичуга (</w:t>
      </w:r>
      <w:r w:rsidR="00163005" w:rsidRPr="00A03CD9">
        <w:t>344593,7</w:t>
      </w:r>
      <w:r w:rsidRPr="00A03CD9">
        <w:t xml:space="preserve"> тыс. рублей), безвозмездные поступления </w:t>
      </w:r>
      <w:r w:rsidR="00163005" w:rsidRPr="00A03CD9">
        <w:t>252485,2</w:t>
      </w:r>
      <w:r w:rsidRPr="00A03CD9">
        <w:t xml:space="preserve"> тыс. рублей, или </w:t>
      </w:r>
      <w:r w:rsidR="00163005" w:rsidRPr="00A03CD9">
        <w:t>73,27</w:t>
      </w:r>
      <w:r w:rsidRPr="00A03CD9">
        <w:t>%</w:t>
      </w:r>
      <w:r w:rsidR="006C63BB" w:rsidRPr="00A03CD9">
        <w:t xml:space="preserve"> (таблица №2)</w:t>
      </w:r>
    </w:p>
    <w:p w:rsidR="006C63BB" w:rsidRDefault="006C63BB">
      <w:pPr>
        <w:jc w:val="both"/>
      </w:pPr>
    </w:p>
    <w:p w:rsidR="00F73CED" w:rsidRDefault="006C63BB" w:rsidP="00F73CED">
      <w:pPr>
        <w:jc w:val="center"/>
        <w:rPr>
          <w:b/>
        </w:rPr>
      </w:pPr>
      <w:r w:rsidRPr="00BE0979">
        <w:rPr>
          <w:b/>
        </w:rPr>
        <w:t xml:space="preserve">Исполнение бюджета городского округа Вичуга за </w:t>
      </w:r>
      <w:r w:rsidR="00F73CED">
        <w:rPr>
          <w:b/>
        </w:rPr>
        <w:t>девять месяцев</w:t>
      </w:r>
    </w:p>
    <w:p w:rsidR="006C63BB" w:rsidRPr="00BE0979" w:rsidRDefault="006C63BB" w:rsidP="00F73CED">
      <w:pPr>
        <w:jc w:val="center"/>
        <w:rPr>
          <w:b/>
        </w:rPr>
      </w:pPr>
      <w:r w:rsidRPr="00BE0979">
        <w:rPr>
          <w:b/>
        </w:rPr>
        <w:t xml:space="preserve"> 201</w:t>
      </w:r>
      <w:r w:rsidR="00D861D7">
        <w:rPr>
          <w:b/>
        </w:rPr>
        <w:t>4</w:t>
      </w:r>
      <w:r w:rsidRPr="00BE0979">
        <w:rPr>
          <w:b/>
        </w:rPr>
        <w:t xml:space="preserve"> года по доходам</w:t>
      </w:r>
    </w:p>
    <w:p w:rsidR="006C63BB" w:rsidRPr="00BE0979" w:rsidRDefault="006C63BB" w:rsidP="006C63BB">
      <w:pPr>
        <w:jc w:val="center"/>
        <w:rPr>
          <w:b/>
        </w:rPr>
      </w:pPr>
    </w:p>
    <w:p w:rsidR="006C63BB" w:rsidRPr="00466099" w:rsidRDefault="00903FDD" w:rsidP="006C63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Таблица №2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276"/>
        <w:gridCol w:w="1241"/>
      </w:tblGrid>
      <w:tr w:rsidR="006C63BB" w:rsidRPr="009E159D" w:rsidTr="00794D2E">
        <w:trPr>
          <w:trHeight w:val="781"/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6C63BB" w:rsidRDefault="006C63B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Уточненный план</w:t>
            </w:r>
          </w:p>
          <w:p w:rsidR="00903FDD" w:rsidRPr="009E159D" w:rsidRDefault="00903FDD" w:rsidP="009E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6C63BB" w:rsidRDefault="00903FDD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И</w:t>
            </w:r>
            <w:r w:rsidR="006C63BB" w:rsidRPr="009E159D">
              <w:rPr>
                <w:sz w:val="20"/>
                <w:szCs w:val="20"/>
              </w:rPr>
              <w:t>сполнение</w:t>
            </w:r>
          </w:p>
          <w:p w:rsidR="00903FDD" w:rsidRPr="009E159D" w:rsidRDefault="00903FDD" w:rsidP="009E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6C63B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% выполнения</w:t>
            </w:r>
            <w:r w:rsidR="00D86D06" w:rsidRPr="009E159D">
              <w:rPr>
                <w:sz w:val="20"/>
                <w:szCs w:val="20"/>
              </w:rPr>
              <w:t xml:space="preserve"> к плану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6C63B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Структура</w:t>
            </w:r>
            <w:r w:rsidR="007618FE">
              <w:rPr>
                <w:sz w:val="20"/>
                <w:szCs w:val="20"/>
              </w:rPr>
              <w:t xml:space="preserve"> исполнения</w:t>
            </w:r>
          </w:p>
          <w:p w:rsidR="006C63BB" w:rsidRPr="009E159D" w:rsidRDefault="006C63B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%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b/>
                <w:sz w:val="20"/>
                <w:szCs w:val="20"/>
              </w:rPr>
            </w:pPr>
            <w:r w:rsidRPr="009E159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123511,3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550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92108,5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74,57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26,73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44088,0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33546,9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76,09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C3444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C3444B" w:rsidRPr="009E159D" w:rsidRDefault="00C3444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shd w:val="clear" w:color="auto" w:fill="auto"/>
          </w:tcPr>
          <w:p w:rsidR="00C3444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9338,4</w:t>
            </w:r>
          </w:p>
        </w:tc>
        <w:tc>
          <w:tcPr>
            <w:tcW w:w="1559" w:type="dxa"/>
            <w:shd w:val="clear" w:color="auto" w:fill="auto"/>
          </w:tcPr>
          <w:p w:rsidR="00C3444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5182,1</w:t>
            </w:r>
          </w:p>
        </w:tc>
        <w:tc>
          <w:tcPr>
            <w:tcW w:w="1276" w:type="dxa"/>
            <w:shd w:val="clear" w:color="auto" w:fill="auto"/>
          </w:tcPr>
          <w:p w:rsidR="00C3444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55,49</w:t>
            </w:r>
          </w:p>
        </w:tc>
        <w:tc>
          <w:tcPr>
            <w:tcW w:w="1241" w:type="dxa"/>
            <w:shd w:val="clear" w:color="auto" w:fill="auto"/>
          </w:tcPr>
          <w:p w:rsidR="00C3444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17419,0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13740,8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78,88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9524,8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5153,3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54,10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1619,9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1530,9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 xml:space="preserve">Задолженность и перерасчеты по </w:t>
            </w:r>
            <w:r w:rsidR="00676459">
              <w:rPr>
                <w:sz w:val="20"/>
                <w:szCs w:val="20"/>
              </w:rPr>
              <w:t xml:space="preserve"> </w:t>
            </w:r>
            <w:r w:rsidRPr="009E159D">
              <w:rPr>
                <w:sz w:val="20"/>
                <w:szCs w:val="20"/>
              </w:rPr>
              <w:t>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2630,0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7185,7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6523,6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90,78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70,58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241,76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31838,4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24307,8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76,34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1975,1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1535,6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77,74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26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b/>
                <w:sz w:val="20"/>
                <w:szCs w:val="20"/>
              </w:rPr>
            </w:pPr>
            <w:r w:rsidRPr="009E159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380649,1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252485,2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66,33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73,27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164963,2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123722,9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88695,4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36614,1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41,28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141849,6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107007,3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75,43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229,58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-14892,9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-14936,7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6DA5" w:rsidP="001A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100,29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6DA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-4,33</w:t>
            </w:r>
          </w:p>
        </w:tc>
      </w:tr>
      <w:tr w:rsidR="006C63BB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6C63BB" w:rsidRPr="009E159D" w:rsidRDefault="006C63BB" w:rsidP="009E159D">
            <w:pPr>
              <w:rPr>
                <w:b/>
                <w:sz w:val="20"/>
                <w:szCs w:val="20"/>
              </w:rPr>
            </w:pPr>
            <w:r w:rsidRPr="009E15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C63BB" w:rsidRPr="009E159D" w:rsidRDefault="00B05B99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504160,4</w:t>
            </w:r>
          </w:p>
        </w:tc>
        <w:tc>
          <w:tcPr>
            <w:tcW w:w="1559" w:type="dxa"/>
            <w:shd w:val="clear" w:color="auto" w:fill="auto"/>
          </w:tcPr>
          <w:p w:rsidR="006C63BB" w:rsidRPr="009E159D" w:rsidRDefault="00B05B99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344593,7</w:t>
            </w:r>
          </w:p>
        </w:tc>
        <w:tc>
          <w:tcPr>
            <w:tcW w:w="1276" w:type="dxa"/>
            <w:shd w:val="clear" w:color="auto" w:fill="auto"/>
          </w:tcPr>
          <w:p w:rsidR="006C63BB" w:rsidRPr="009E159D" w:rsidRDefault="00B05B99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68,35</w:t>
            </w:r>
          </w:p>
        </w:tc>
        <w:tc>
          <w:tcPr>
            <w:tcW w:w="1241" w:type="dxa"/>
            <w:shd w:val="clear" w:color="auto" w:fill="auto"/>
          </w:tcPr>
          <w:p w:rsidR="006C63BB" w:rsidRPr="009E159D" w:rsidRDefault="00B05B99" w:rsidP="009E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C63BB" w:rsidRDefault="006C63BB">
      <w:pPr>
        <w:jc w:val="both"/>
      </w:pPr>
    </w:p>
    <w:p w:rsidR="001B6A97" w:rsidRDefault="001B6A97">
      <w:pPr>
        <w:jc w:val="both"/>
      </w:pPr>
    </w:p>
    <w:p w:rsidR="0032504F" w:rsidRDefault="0032504F">
      <w:pPr>
        <w:jc w:val="both"/>
      </w:pPr>
      <w:r>
        <w:tab/>
      </w:r>
      <w:r w:rsidRPr="002F42AF">
        <w:t>Исполне</w:t>
      </w:r>
      <w:r>
        <w:t xml:space="preserve">ние бюджета городского округа Вичуга по </w:t>
      </w:r>
      <w:r w:rsidR="004D741B">
        <w:rPr>
          <w:b/>
          <w:bCs/>
        </w:rPr>
        <w:t>налоговым и не</w:t>
      </w:r>
      <w:r>
        <w:rPr>
          <w:b/>
          <w:bCs/>
        </w:rPr>
        <w:t>налоговым доходам</w:t>
      </w:r>
      <w:r>
        <w:t xml:space="preserve"> за </w:t>
      </w:r>
      <w:r w:rsidR="006B322F">
        <w:t>девять месяцев</w:t>
      </w:r>
      <w:r>
        <w:t xml:space="preserve"> текущего года составило </w:t>
      </w:r>
      <w:r w:rsidR="006B322F">
        <w:t>92108,5</w:t>
      </w:r>
      <w:r>
        <w:t xml:space="preserve"> тыс. рублей, или </w:t>
      </w:r>
      <w:r w:rsidR="006B322F">
        <w:t>74,57</w:t>
      </w:r>
      <w:r>
        <w:t xml:space="preserve">% к годовым бюджетным назначениям. </w:t>
      </w:r>
    </w:p>
    <w:p w:rsidR="0032504F" w:rsidRDefault="0032504F">
      <w:pPr>
        <w:jc w:val="both"/>
      </w:pPr>
      <w:r>
        <w:tab/>
        <w:t>Наибольший удельный вес в структуре налоговы</w:t>
      </w:r>
      <w:r w:rsidR="004D741B">
        <w:t>х и не</w:t>
      </w:r>
      <w:r>
        <w:t xml:space="preserve">налоговых доходов приходится на налоги </w:t>
      </w:r>
      <w:r>
        <w:rPr>
          <w:b/>
          <w:bCs/>
        </w:rPr>
        <w:t>на прибыль, доходы</w:t>
      </w:r>
      <w:r>
        <w:t xml:space="preserve"> — </w:t>
      </w:r>
      <w:r w:rsidR="00513DE0">
        <w:t>36,4</w:t>
      </w:r>
      <w:r>
        <w:t xml:space="preserve">%. Поступления </w:t>
      </w:r>
      <w:r>
        <w:rPr>
          <w:b/>
          <w:bCs/>
        </w:rPr>
        <w:t>по налогу на доходы физических лиц</w:t>
      </w:r>
      <w:r>
        <w:t xml:space="preserve"> составили </w:t>
      </w:r>
      <w:r w:rsidR="00513DE0">
        <w:t>33546,9</w:t>
      </w:r>
      <w:r>
        <w:t xml:space="preserve"> тыс. рублей,  или </w:t>
      </w:r>
      <w:r w:rsidR="00513DE0">
        <w:t>76,9</w:t>
      </w:r>
      <w:r>
        <w:t>% по отношению к годовым бюджетным назначениям (</w:t>
      </w:r>
      <w:r w:rsidR="00BD1018">
        <w:t>44088,0</w:t>
      </w:r>
      <w:r>
        <w:t xml:space="preserve"> тыс. рублей).</w:t>
      </w:r>
    </w:p>
    <w:p w:rsidR="0082044E" w:rsidRDefault="0082044E">
      <w:pPr>
        <w:jc w:val="both"/>
      </w:pPr>
      <w:r>
        <w:tab/>
        <w:t xml:space="preserve">Поступление </w:t>
      </w:r>
      <w:r w:rsidRPr="0082044E">
        <w:rPr>
          <w:b/>
        </w:rPr>
        <w:t>налогов на товары (работы, услуги), реализуемые на территории РФ</w:t>
      </w:r>
      <w:r>
        <w:t xml:space="preserve"> за </w:t>
      </w:r>
      <w:r w:rsidR="00274091">
        <w:t>девять месяцев</w:t>
      </w:r>
      <w:r>
        <w:t xml:space="preserve"> 2014 года составило </w:t>
      </w:r>
      <w:r w:rsidR="00274091">
        <w:t>5182,1</w:t>
      </w:r>
      <w:r w:rsidR="003571C9">
        <w:t xml:space="preserve"> тыс. рублей, или </w:t>
      </w:r>
      <w:r w:rsidR="00274091">
        <w:t>55,49</w:t>
      </w:r>
      <w:r w:rsidR="003571C9">
        <w:t>% к годовым бюджетным назначениям (9338,4 тыс. рублей).</w:t>
      </w:r>
    </w:p>
    <w:p w:rsidR="0032504F" w:rsidRDefault="0032504F">
      <w:pPr>
        <w:jc w:val="both"/>
      </w:pPr>
      <w:r>
        <w:tab/>
      </w:r>
      <w:r>
        <w:rPr>
          <w:b/>
          <w:bCs/>
        </w:rPr>
        <w:t>Налоги на совокупный доход</w:t>
      </w:r>
      <w:r>
        <w:t xml:space="preserve">, исполнены в сумме </w:t>
      </w:r>
      <w:r w:rsidR="00856753">
        <w:t>13740,8</w:t>
      </w:r>
      <w:r>
        <w:t xml:space="preserve"> тыс. рублей, что составляет </w:t>
      </w:r>
      <w:r w:rsidR="00856753">
        <w:t>78,88</w:t>
      </w:r>
      <w:r>
        <w:t>% к годовым бюджетным назначениям (</w:t>
      </w:r>
      <w:r w:rsidR="003571C9">
        <w:t>17419,0</w:t>
      </w:r>
      <w:r>
        <w:t xml:space="preserve"> тыс. рублей).</w:t>
      </w:r>
    </w:p>
    <w:p w:rsidR="0032504F" w:rsidRDefault="0032504F">
      <w:pPr>
        <w:jc w:val="both"/>
      </w:pPr>
      <w:r>
        <w:tab/>
        <w:t xml:space="preserve">Поступление </w:t>
      </w:r>
      <w:r>
        <w:rPr>
          <w:b/>
          <w:bCs/>
        </w:rPr>
        <w:t>налогов на имущество</w:t>
      </w:r>
      <w:r>
        <w:t xml:space="preserve"> за </w:t>
      </w:r>
      <w:r w:rsidR="00856753">
        <w:t>девять месяцев</w:t>
      </w:r>
      <w:r>
        <w:t xml:space="preserve"> текущего года составило </w:t>
      </w:r>
      <w:r w:rsidR="00856753">
        <w:t>5153,3</w:t>
      </w:r>
      <w:r>
        <w:t xml:space="preserve"> тыс. рублей, или </w:t>
      </w:r>
      <w:r w:rsidR="00856753">
        <w:t>54,1</w:t>
      </w:r>
      <w:r>
        <w:t>% по отношению к годовым бюджетным назначениям (</w:t>
      </w:r>
      <w:r w:rsidR="00E94B76">
        <w:t>9524,8</w:t>
      </w:r>
      <w:r>
        <w:t xml:space="preserve"> тыс. рублей).</w:t>
      </w:r>
    </w:p>
    <w:p w:rsidR="0032504F" w:rsidRDefault="0032504F">
      <w:pPr>
        <w:jc w:val="both"/>
      </w:pPr>
      <w:r>
        <w:tab/>
        <w:t xml:space="preserve">Подгруппа </w:t>
      </w:r>
      <w:r>
        <w:rPr>
          <w:b/>
          <w:bCs/>
        </w:rPr>
        <w:t>«Государственная пошлина»</w:t>
      </w:r>
      <w:r>
        <w:t xml:space="preserve"> исполнена в размере </w:t>
      </w:r>
      <w:r w:rsidR="00856753">
        <w:t>1530,9</w:t>
      </w:r>
      <w:r>
        <w:t xml:space="preserve"> тыс. рублей или </w:t>
      </w:r>
      <w:r w:rsidR="00856753">
        <w:t>94,5</w:t>
      </w:r>
      <w:r>
        <w:t>% к годовым бюджетным назначениям (</w:t>
      </w:r>
      <w:r w:rsidR="00856753">
        <w:t>1619,9</w:t>
      </w:r>
      <w:r>
        <w:t xml:space="preserve"> тыс. рублей).</w:t>
      </w:r>
    </w:p>
    <w:p w:rsidR="0032504F" w:rsidRDefault="0032504F">
      <w:pPr>
        <w:jc w:val="both"/>
      </w:pPr>
      <w:r>
        <w:tab/>
        <w:t xml:space="preserve">Поступления в результате погашения </w:t>
      </w:r>
      <w:r>
        <w:rPr>
          <w:b/>
          <w:bCs/>
        </w:rPr>
        <w:t>задолженности и перерасчетов по отмененным налогам, сборам и иным обязательным платежам</w:t>
      </w:r>
      <w:r>
        <w:t xml:space="preserve"> составили </w:t>
      </w:r>
      <w:r w:rsidR="00510026">
        <w:t>26,3</w:t>
      </w:r>
      <w:r>
        <w:t xml:space="preserve"> тыс. рублей, </w:t>
      </w:r>
      <w:r w:rsidRPr="0022282C">
        <w:t xml:space="preserve">или </w:t>
      </w:r>
      <w:r w:rsidR="00510026">
        <w:t>2630</w:t>
      </w:r>
      <w:r w:rsidRPr="0022282C">
        <w:t>%</w:t>
      </w:r>
      <w:r>
        <w:t xml:space="preserve"> к годовым бюджетным назначениям (</w:t>
      </w:r>
      <w:r w:rsidR="00510026">
        <w:t>1</w:t>
      </w:r>
      <w:r w:rsidR="00056EB3">
        <w:t>,0</w:t>
      </w:r>
      <w:r>
        <w:t xml:space="preserve"> тыс. рублей).</w:t>
      </w:r>
    </w:p>
    <w:p w:rsidR="0032504F" w:rsidRDefault="0032504F">
      <w:pPr>
        <w:jc w:val="both"/>
      </w:pPr>
      <w:r>
        <w:tab/>
      </w:r>
      <w:r>
        <w:rPr>
          <w:b/>
          <w:bCs/>
        </w:rPr>
        <w:t>Доходы от использования имущества, находящегося в государственной и муниципальной собственности</w:t>
      </w:r>
      <w:r>
        <w:t xml:space="preserve">, поступили в бюджет городского округа Вичуга в размере </w:t>
      </w:r>
      <w:r w:rsidR="00856753">
        <w:t>6523,6</w:t>
      </w:r>
      <w:r>
        <w:t xml:space="preserve"> тыс. рублей (</w:t>
      </w:r>
      <w:r w:rsidR="00856753">
        <w:t>90,78</w:t>
      </w:r>
      <w:r>
        <w:t xml:space="preserve">% от утвержденных годовых бюджетных назначений, из них: </w:t>
      </w:r>
    </w:p>
    <w:p w:rsidR="0032504F" w:rsidRDefault="0032504F">
      <w:pPr>
        <w:numPr>
          <w:ilvl w:val="1"/>
          <w:numId w:val="4"/>
        </w:numPr>
        <w:jc w:val="both"/>
      </w:pPr>
      <w: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</w:r>
      <w:r w:rsidR="00856753">
        <w:t>2873,2</w:t>
      </w:r>
      <w:r>
        <w:t xml:space="preserve"> тыс. рублей, или </w:t>
      </w:r>
      <w:r w:rsidR="00856753">
        <w:t>76,61</w:t>
      </w:r>
      <w:r>
        <w:t>% к годовым бюджетным назначениям (</w:t>
      </w:r>
      <w:r w:rsidR="008841AE">
        <w:t>3750,0</w:t>
      </w:r>
      <w:r>
        <w:t xml:space="preserve"> тыс. рублей);</w:t>
      </w:r>
    </w:p>
    <w:p w:rsidR="0032504F" w:rsidRDefault="0032504F">
      <w:pPr>
        <w:numPr>
          <w:ilvl w:val="1"/>
          <w:numId w:val="4"/>
        </w:numPr>
        <w:jc w:val="both"/>
      </w:pPr>
      <w:r>
        <w:t xml:space="preserve">доходы от перечисления части прибыли государственных и муниципальных унитарных предприятий, остающихся после уплаты налогов и обязательных платежей </w:t>
      </w:r>
      <w:r w:rsidR="008841AE">
        <w:t>450,7</w:t>
      </w:r>
      <w:r>
        <w:t xml:space="preserve"> тыс. рублей, или </w:t>
      </w:r>
      <w:r w:rsidR="00DF6306">
        <w:t>100</w:t>
      </w:r>
      <w:r w:rsidR="00BE3708">
        <w:t>,02</w:t>
      </w:r>
      <w:r>
        <w:t>% к годовым бюджетным назначениям (</w:t>
      </w:r>
      <w:r w:rsidR="008841AE">
        <w:t>450,6</w:t>
      </w:r>
      <w:r>
        <w:t xml:space="preserve"> тыс. рублей);</w:t>
      </w:r>
    </w:p>
    <w:p w:rsidR="0032504F" w:rsidRDefault="0032504F">
      <w:pPr>
        <w:numPr>
          <w:ilvl w:val="1"/>
          <w:numId w:val="4"/>
        </w:numPr>
        <w:jc w:val="both"/>
      </w:pPr>
      <w:r>
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предприятий) </w:t>
      </w:r>
      <w:r w:rsidR="00856753">
        <w:t>3199,7</w:t>
      </w:r>
      <w:r>
        <w:t xml:space="preserve"> тыс. рублей, или </w:t>
      </w:r>
      <w:r w:rsidR="0063773D">
        <w:t>107,18</w:t>
      </w:r>
      <w:r>
        <w:t>% к годовым бюджетным назначениям (</w:t>
      </w:r>
      <w:r w:rsidR="00F11308">
        <w:t>2985,1</w:t>
      </w:r>
      <w:r>
        <w:t xml:space="preserve"> тыс. рублей).</w:t>
      </w:r>
    </w:p>
    <w:p w:rsidR="0032504F" w:rsidRDefault="0032504F" w:rsidP="001255D8">
      <w:pPr>
        <w:ind w:left="67" w:firstLine="641"/>
        <w:jc w:val="both"/>
      </w:pPr>
      <w:r>
        <w:t xml:space="preserve">Поступление </w:t>
      </w:r>
      <w:r>
        <w:rPr>
          <w:b/>
          <w:bCs/>
        </w:rPr>
        <w:t>платежей при пользовании природными ресурсами</w:t>
      </w:r>
      <w:r>
        <w:t xml:space="preserve"> на 201</w:t>
      </w:r>
      <w:r w:rsidR="00B57C4D">
        <w:t>4</w:t>
      </w:r>
      <w:r>
        <w:t xml:space="preserve"> запланировано в размере </w:t>
      </w:r>
      <w:r w:rsidR="00B57C4D">
        <w:t>408,0</w:t>
      </w:r>
      <w:r>
        <w:t xml:space="preserve"> тыс. рублей. Фактическое поступление за </w:t>
      </w:r>
      <w:r w:rsidR="009031E1">
        <w:t>девять месяцев</w:t>
      </w:r>
      <w:r>
        <w:t xml:space="preserve"> текущего года составило </w:t>
      </w:r>
      <w:r w:rsidR="009031E1">
        <w:t>288,0</w:t>
      </w:r>
      <w:r>
        <w:t xml:space="preserve"> тыс. рублей, или </w:t>
      </w:r>
      <w:r w:rsidR="009031E1">
        <w:t>70,58</w:t>
      </w:r>
      <w:r>
        <w:t>% по отношению к годовым бюджетным назначениям. Поступление по данному коду доходов сложилось за счет поступлений платы за негативное воздействие на окружающую среду.</w:t>
      </w:r>
    </w:p>
    <w:p w:rsidR="0032504F" w:rsidRDefault="0032504F">
      <w:pPr>
        <w:jc w:val="both"/>
      </w:pPr>
      <w:r>
        <w:t xml:space="preserve">          </w:t>
      </w:r>
      <w:r w:rsidRPr="007A5907">
        <w:t>По</w:t>
      </w:r>
      <w:r>
        <w:t xml:space="preserve">дгруппа доходов </w:t>
      </w:r>
      <w:r>
        <w:rPr>
          <w:b/>
          <w:bCs/>
        </w:rPr>
        <w:t>«Доходы от оказания платных услуг и компенсации затрат государства»</w:t>
      </w:r>
      <w:r>
        <w:t xml:space="preserve"> исполнена в сумме</w:t>
      </w:r>
      <w:r w:rsidR="007A5907">
        <w:t xml:space="preserve"> </w:t>
      </w:r>
      <w:r w:rsidR="009031E1">
        <w:t>273,2</w:t>
      </w:r>
      <w:r>
        <w:t xml:space="preserve"> тыс. рублей</w:t>
      </w:r>
      <w:r w:rsidR="007A5907">
        <w:t xml:space="preserve"> или </w:t>
      </w:r>
      <w:r w:rsidR="009031E1">
        <w:t>241,76</w:t>
      </w:r>
      <w:r w:rsidR="007A5907">
        <w:t>% к годовым бюджетным назначениям (</w:t>
      </w:r>
      <w:r w:rsidR="00543B9A">
        <w:t>113,0</w:t>
      </w:r>
      <w:r w:rsidR="007A5907">
        <w:t xml:space="preserve"> тыс. рублей).</w:t>
      </w:r>
    </w:p>
    <w:p w:rsidR="0032504F" w:rsidRDefault="0032504F">
      <w:pPr>
        <w:jc w:val="both"/>
      </w:pPr>
      <w:r>
        <w:t xml:space="preserve">          </w:t>
      </w:r>
      <w:r w:rsidRPr="001A42ED">
        <w:t>По</w:t>
      </w:r>
      <w:r>
        <w:t xml:space="preserve">ступление </w:t>
      </w:r>
      <w:r w:rsidRPr="007A5907">
        <w:rPr>
          <w:b/>
        </w:rPr>
        <w:t>доходов от продажи материальных и нематериальных активов</w:t>
      </w:r>
      <w:r>
        <w:t xml:space="preserve"> составило</w:t>
      </w:r>
      <w:r w:rsidR="007A5907">
        <w:t xml:space="preserve"> </w:t>
      </w:r>
      <w:r w:rsidR="00443117">
        <w:t>24307,8</w:t>
      </w:r>
      <w:r>
        <w:t xml:space="preserve"> тыс. рублей или </w:t>
      </w:r>
      <w:r w:rsidR="00443117">
        <w:t>76,34</w:t>
      </w:r>
      <w:r>
        <w:t>% к годовым бюджетным назначениям (</w:t>
      </w:r>
      <w:r w:rsidR="00443117">
        <w:t>31838,4</w:t>
      </w:r>
      <w:r>
        <w:t xml:space="preserve"> тыс. рублей) и сложилось за счет поступлений:</w:t>
      </w:r>
    </w:p>
    <w:p w:rsidR="0032504F" w:rsidRDefault="0032504F">
      <w:pPr>
        <w:jc w:val="both"/>
      </w:pPr>
      <w:r>
        <w:t xml:space="preserve">         </w:t>
      </w:r>
      <w:r w:rsidR="00F13BB4">
        <w:t xml:space="preserve">- </w:t>
      </w:r>
      <w:r>
        <w:t xml:space="preserve">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</w:t>
      </w:r>
      <w:r w:rsidR="00443117">
        <w:t>22789,8</w:t>
      </w:r>
      <w:r>
        <w:t xml:space="preserve"> тыс. рублей или </w:t>
      </w:r>
      <w:r w:rsidR="00443117">
        <w:t>83,64</w:t>
      </w:r>
      <w:r>
        <w:t>% к годовым бюджетным назначениям (</w:t>
      </w:r>
      <w:r w:rsidR="00A14BF9">
        <w:t>27246,7</w:t>
      </w:r>
      <w:r>
        <w:t xml:space="preserve"> тыс. рублей);</w:t>
      </w:r>
    </w:p>
    <w:p w:rsidR="0032504F" w:rsidRDefault="0032504F">
      <w:pPr>
        <w:jc w:val="both"/>
      </w:pPr>
      <w:r>
        <w:t xml:space="preserve">      </w:t>
      </w:r>
      <w:r w:rsidR="00F13BB4">
        <w:t>-</w:t>
      </w:r>
      <w:r>
        <w:t xml:space="preserve"> доходов от продажи земельных участков, государственная собственность на которые не разграничена и которые расположены в границах городских округов в сумме </w:t>
      </w:r>
      <w:r w:rsidR="008F78AC">
        <w:t>1580,0</w:t>
      </w:r>
      <w:r>
        <w:t xml:space="preserve"> тыс. рублей или </w:t>
      </w:r>
      <w:r w:rsidR="008F78AC">
        <w:t>34,4</w:t>
      </w:r>
      <w:r>
        <w:t>% к годовым бюджетным назначениям (</w:t>
      </w:r>
      <w:r w:rsidR="008F78AC">
        <w:t>4591,7</w:t>
      </w:r>
      <w:r>
        <w:t xml:space="preserve"> тыс. рублей).</w:t>
      </w:r>
    </w:p>
    <w:p w:rsidR="0032504F" w:rsidRDefault="0032504F">
      <w:pPr>
        <w:jc w:val="both"/>
      </w:pPr>
      <w:r>
        <w:t xml:space="preserve">       </w:t>
      </w:r>
      <w:r w:rsidR="00ED578F">
        <w:t>Поступление</w:t>
      </w:r>
      <w:r w:rsidR="0013398A">
        <w:t xml:space="preserve"> </w:t>
      </w:r>
      <w:r>
        <w:t xml:space="preserve"> </w:t>
      </w:r>
      <w:r>
        <w:rPr>
          <w:b/>
          <w:bCs/>
        </w:rPr>
        <w:t>штрафов, санкций, возмещения ущерба</w:t>
      </w:r>
      <w:r>
        <w:t xml:space="preserve"> составило </w:t>
      </w:r>
      <w:r w:rsidR="002B0DFA">
        <w:t>1535,6</w:t>
      </w:r>
      <w:r w:rsidR="00ED578F">
        <w:t xml:space="preserve"> </w:t>
      </w:r>
      <w:r>
        <w:t xml:space="preserve">тыс. рублей, </w:t>
      </w:r>
      <w:r w:rsidR="00ED578F">
        <w:t xml:space="preserve">или </w:t>
      </w:r>
      <w:r w:rsidR="002B0DFA">
        <w:t>77,74</w:t>
      </w:r>
      <w:r w:rsidR="00ED578F">
        <w:t>% к годовым бюджетным назначениям (</w:t>
      </w:r>
      <w:r w:rsidR="002B0DFA">
        <w:t>1975,1</w:t>
      </w:r>
      <w:r w:rsidR="00ED578F">
        <w:t xml:space="preserve"> тыс. рублей)</w:t>
      </w:r>
      <w:r w:rsidR="0013398A">
        <w:t>.</w:t>
      </w:r>
    </w:p>
    <w:p w:rsidR="0032504F" w:rsidRPr="00555C8B" w:rsidRDefault="0032504F">
      <w:pPr>
        <w:jc w:val="both"/>
      </w:pPr>
      <w:r>
        <w:t xml:space="preserve">          </w:t>
      </w:r>
      <w:r w:rsidRPr="00467184">
        <w:t xml:space="preserve">Исполнение по подгруппе </w:t>
      </w:r>
      <w:r w:rsidRPr="00467184">
        <w:rPr>
          <w:b/>
          <w:bCs/>
        </w:rPr>
        <w:t>«Прочие неналоговые доходы»</w:t>
      </w:r>
      <w:r w:rsidRPr="00467184">
        <w:t xml:space="preserve"> составляет </w:t>
      </w:r>
      <w:r w:rsidR="00122FA7" w:rsidRPr="00467184">
        <w:t>0</w:t>
      </w:r>
      <w:r w:rsidR="00ED578F" w:rsidRPr="00467184">
        <w:t xml:space="preserve"> </w:t>
      </w:r>
      <w:r w:rsidRPr="00467184">
        <w:t>тыс. рублей, годовые бюджетные назначения не предусмотрены.</w:t>
      </w:r>
    </w:p>
    <w:p w:rsidR="0032504F" w:rsidRPr="00555C8B" w:rsidRDefault="0032504F">
      <w:pPr>
        <w:jc w:val="both"/>
      </w:pPr>
    </w:p>
    <w:p w:rsidR="0032504F" w:rsidRDefault="0032504F">
      <w:pPr>
        <w:jc w:val="both"/>
      </w:pPr>
      <w:r>
        <w:t xml:space="preserve">         </w:t>
      </w:r>
      <w:r w:rsidRPr="007D1043">
        <w:t>Факт</w:t>
      </w:r>
      <w:r>
        <w:t xml:space="preserve">ическое исполнение годовых бюджетных назначений по коду </w:t>
      </w:r>
      <w:r>
        <w:rPr>
          <w:b/>
          <w:bCs/>
        </w:rPr>
        <w:t>«Безвозмездные поступления»</w:t>
      </w:r>
      <w:r>
        <w:t xml:space="preserve"> составило </w:t>
      </w:r>
      <w:r w:rsidR="00F53DD8">
        <w:t>252485,2</w:t>
      </w:r>
      <w:r>
        <w:t xml:space="preserve"> тыс. рублей (</w:t>
      </w:r>
      <w:r w:rsidR="00F53DD8">
        <w:t>66,33</w:t>
      </w:r>
      <w:r>
        <w:t>% по отношению к годовым бюджетным назначениям</w:t>
      </w:r>
      <w:r w:rsidR="007D1043">
        <w:t>)</w:t>
      </w:r>
      <w:r>
        <w:t xml:space="preserve"> и сложилось за счет </w:t>
      </w:r>
      <w:r>
        <w:rPr>
          <w:b/>
          <w:bCs/>
        </w:rPr>
        <w:t>безвозмездных поступлений от других бюджетов бюджетной системы Российской Федерации.</w:t>
      </w:r>
      <w:r>
        <w:t xml:space="preserve"> </w:t>
      </w:r>
      <w:r>
        <w:rPr>
          <w:i/>
          <w:iCs/>
        </w:rPr>
        <w:t>Дотации бюджетам субъектов Российской Федерации и муниципальных образований</w:t>
      </w:r>
      <w:r>
        <w:t xml:space="preserve"> поступили в сумме </w:t>
      </w:r>
      <w:r w:rsidR="00F53DD8">
        <w:t>123722,9</w:t>
      </w:r>
      <w:r>
        <w:t xml:space="preserve"> тыс. рублей, или </w:t>
      </w:r>
      <w:r w:rsidR="00F53DD8">
        <w:t>75</w:t>
      </w:r>
      <w:r>
        <w:t xml:space="preserve">,0% от суммы годовых бюджетных назначений, </w:t>
      </w:r>
      <w:r>
        <w:rPr>
          <w:i/>
          <w:iCs/>
        </w:rPr>
        <w:t>субсидии бюджетам субъектов Российской Федерации и муниципальных образований (межбюджетные субсидии)</w:t>
      </w:r>
      <w:r>
        <w:t xml:space="preserve"> поступили в сумме </w:t>
      </w:r>
      <w:r w:rsidR="00F53DD8">
        <w:t>36614,1</w:t>
      </w:r>
      <w:r>
        <w:t xml:space="preserve"> тыс. рублей, или </w:t>
      </w:r>
      <w:r w:rsidR="00F53DD8">
        <w:t>41,28</w:t>
      </w:r>
      <w:r>
        <w:t xml:space="preserve">% размера годовых бюджетных назначений, </w:t>
      </w:r>
      <w:r>
        <w:rPr>
          <w:i/>
          <w:iCs/>
        </w:rPr>
        <w:t>субвенции бюджетам субъектов Российской Федерации и муниципальных образований</w:t>
      </w:r>
      <w:r>
        <w:t xml:space="preserve"> поступили в сумме </w:t>
      </w:r>
      <w:r w:rsidR="00F53DD8">
        <w:t>107007,3</w:t>
      </w:r>
      <w:r>
        <w:t xml:space="preserve"> тыс. рублей, или </w:t>
      </w:r>
      <w:r w:rsidR="00F53DD8">
        <w:t>75,43</w:t>
      </w:r>
      <w:r>
        <w:t>% о</w:t>
      </w:r>
      <w:r w:rsidR="00625145">
        <w:t xml:space="preserve">т годовых бюджетных назначений. </w:t>
      </w:r>
      <w:r w:rsidRPr="00F66F5C">
        <w:rPr>
          <w:i/>
          <w:iCs/>
        </w:rPr>
        <w:t>Дохо</w:t>
      </w:r>
      <w:r>
        <w:rPr>
          <w:i/>
          <w:iCs/>
        </w:rPr>
        <w:t>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</w:r>
      <w:r>
        <w:t xml:space="preserve"> составили </w:t>
      </w:r>
      <w:r w:rsidR="00625145">
        <w:t>77,6</w:t>
      </w:r>
      <w:r>
        <w:t xml:space="preserve"> тыс. рублей, </w:t>
      </w:r>
      <w:r w:rsidR="009B351C">
        <w:t xml:space="preserve"> или </w:t>
      </w:r>
      <w:r w:rsidR="00625145">
        <w:t>229,5</w:t>
      </w:r>
      <w:r w:rsidR="009B351C">
        <w:t>% от годовых бюджетных назначений (</w:t>
      </w:r>
      <w:r w:rsidR="007D1043">
        <w:t>33,8</w:t>
      </w:r>
      <w:r w:rsidR="009B351C">
        <w:t xml:space="preserve"> тыс. рублей)</w:t>
      </w:r>
      <w:r>
        <w:t xml:space="preserve">. </w:t>
      </w:r>
      <w:r w:rsidRPr="007D1043">
        <w:rPr>
          <w:i/>
        </w:rPr>
        <w:t>В</w:t>
      </w:r>
      <w:r>
        <w:rPr>
          <w:i/>
          <w:iCs/>
        </w:rPr>
        <w:t>озврат остатков субсидий, субвенций и иных межбюджетных трансфертов, имеющих целевое назначение, прошлых лет</w:t>
      </w:r>
      <w:r>
        <w:t xml:space="preserve"> в размере </w:t>
      </w:r>
      <w:r w:rsidR="00112B16">
        <w:t>14936,7</w:t>
      </w:r>
      <w:r>
        <w:t xml:space="preserve"> тыс. рублей со знаком «минус», </w:t>
      </w:r>
      <w:r w:rsidR="009B351C">
        <w:t>или 100</w:t>
      </w:r>
      <w:r w:rsidR="00112B16">
        <w:t>,3</w:t>
      </w:r>
      <w:r w:rsidR="009B351C">
        <w:t xml:space="preserve">% от годовых бюджетных назначений. </w:t>
      </w:r>
    </w:p>
    <w:p w:rsidR="00F66F5C" w:rsidRDefault="00F66F5C">
      <w:pPr>
        <w:jc w:val="both"/>
      </w:pPr>
    </w:p>
    <w:p w:rsidR="0032504F" w:rsidRDefault="0032504F">
      <w:pPr>
        <w:numPr>
          <w:ilvl w:val="4"/>
          <w:numId w:val="5"/>
        </w:numPr>
        <w:jc w:val="center"/>
        <w:rPr>
          <w:b/>
          <w:bCs/>
        </w:rPr>
      </w:pPr>
      <w:r w:rsidRPr="0080359F">
        <w:rPr>
          <w:b/>
          <w:bCs/>
        </w:rPr>
        <w:t>Исполнение бюджета городского</w:t>
      </w:r>
      <w:r>
        <w:rPr>
          <w:b/>
          <w:bCs/>
        </w:rPr>
        <w:t xml:space="preserve"> округа Вичуга в части</w:t>
      </w:r>
    </w:p>
    <w:p w:rsidR="0032504F" w:rsidRDefault="0032504F">
      <w:pPr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городского округа Вичуга</w:t>
      </w:r>
      <w:r w:rsidR="006B51A4">
        <w:rPr>
          <w:b/>
          <w:bCs/>
        </w:rPr>
        <w:t xml:space="preserve"> </w:t>
      </w:r>
      <w:r w:rsidR="003C4E3D">
        <w:rPr>
          <w:b/>
          <w:bCs/>
        </w:rPr>
        <w:t>за девять месяцев</w:t>
      </w:r>
      <w:r w:rsidR="006B51A4">
        <w:rPr>
          <w:b/>
          <w:bCs/>
        </w:rPr>
        <w:t xml:space="preserve"> 2014 года</w:t>
      </w:r>
    </w:p>
    <w:p w:rsidR="0032504F" w:rsidRDefault="0032504F">
      <w:pPr>
        <w:jc w:val="center"/>
        <w:rPr>
          <w:b/>
          <w:bCs/>
        </w:rPr>
      </w:pPr>
    </w:p>
    <w:p w:rsidR="00F66F5C" w:rsidRDefault="00F66F5C">
      <w:pPr>
        <w:jc w:val="center"/>
        <w:rPr>
          <w:b/>
          <w:bCs/>
        </w:rPr>
      </w:pPr>
    </w:p>
    <w:p w:rsidR="0032504F" w:rsidRDefault="0032504F">
      <w:pPr>
        <w:jc w:val="both"/>
        <w:rPr>
          <w:b/>
          <w:bCs/>
        </w:rPr>
      </w:pPr>
      <w:r>
        <w:rPr>
          <w:b/>
          <w:bCs/>
        </w:rPr>
        <w:tab/>
      </w:r>
      <w:r>
        <w:t xml:space="preserve">Источники финансирования дефицита бюджета городского округа Вичуга за </w:t>
      </w:r>
      <w:r w:rsidR="003C4E3D">
        <w:t>девять месяцев</w:t>
      </w:r>
      <w:r>
        <w:t xml:space="preserve"> 201</w:t>
      </w:r>
      <w:r w:rsidR="008F0651">
        <w:t>4</w:t>
      </w:r>
      <w:r>
        <w:t xml:space="preserve"> года исполнены в размере </w:t>
      </w:r>
      <w:r w:rsidR="00D8775D">
        <w:t>50209,7</w:t>
      </w:r>
      <w:r>
        <w:t xml:space="preserve"> тыс. рублей со знаком «минус» (при годовых бюджетных назначениях </w:t>
      </w:r>
      <w:r w:rsidR="00D8775D">
        <w:t>33282,2</w:t>
      </w:r>
      <w:r>
        <w:t xml:space="preserve"> тыс. рублей) за счет: </w:t>
      </w:r>
      <w:r>
        <w:rPr>
          <w:i/>
          <w:iCs/>
        </w:rPr>
        <w:t xml:space="preserve">изменения остатков средств </w:t>
      </w:r>
      <w:r w:rsidR="00360752">
        <w:rPr>
          <w:i/>
          <w:iCs/>
        </w:rPr>
        <w:t>на счетах по учету средств бюджетов</w:t>
      </w:r>
      <w:r>
        <w:t xml:space="preserve"> в сумме </w:t>
      </w:r>
      <w:r w:rsidR="00832A4B">
        <w:t>32483,8</w:t>
      </w:r>
      <w:r>
        <w:t xml:space="preserve"> тыс. рублей </w:t>
      </w:r>
      <w:r w:rsidR="00832A4B">
        <w:t xml:space="preserve">и </w:t>
      </w:r>
      <w:r w:rsidR="00FC4B67">
        <w:t>798,4</w:t>
      </w:r>
      <w:r w:rsidR="00832A4B">
        <w:t xml:space="preserve"> </w:t>
      </w:r>
      <w:r w:rsidR="0086331E">
        <w:t xml:space="preserve">тыс. рублей </w:t>
      </w:r>
      <w:r w:rsidR="00832A4B" w:rsidRPr="0086331E">
        <w:rPr>
          <w:i/>
        </w:rPr>
        <w:t>за счет кредитов</w:t>
      </w:r>
      <w:r w:rsidR="0086331E" w:rsidRPr="0086331E">
        <w:rPr>
          <w:i/>
        </w:rPr>
        <w:t xml:space="preserve"> кредитных организаций</w:t>
      </w:r>
      <w:r>
        <w:t>.</w:t>
      </w:r>
    </w:p>
    <w:p w:rsidR="0032504F" w:rsidRDefault="0032504F">
      <w:pPr>
        <w:jc w:val="both"/>
        <w:rPr>
          <w:b/>
          <w:bCs/>
        </w:rPr>
      </w:pPr>
    </w:p>
    <w:p w:rsidR="001B6A97" w:rsidRDefault="001B6A97">
      <w:pPr>
        <w:jc w:val="both"/>
        <w:rPr>
          <w:b/>
          <w:bCs/>
        </w:rPr>
      </w:pPr>
    </w:p>
    <w:p w:rsidR="003B5CD7" w:rsidRDefault="0032504F" w:rsidP="003B5CD7">
      <w:pPr>
        <w:numPr>
          <w:ilvl w:val="2"/>
          <w:numId w:val="6"/>
        </w:numPr>
        <w:jc w:val="center"/>
        <w:rPr>
          <w:b/>
          <w:bCs/>
        </w:rPr>
      </w:pPr>
      <w:r w:rsidRPr="009D564F">
        <w:rPr>
          <w:b/>
          <w:bCs/>
        </w:rPr>
        <w:t>Исполнение бюджета городского</w:t>
      </w:r>
      <w:r>
        <w:rPr>
          <w:b/>
          <w:bCs/>
        </w:rPr>
        <w:t xml:space="preserve"> округа Вичуга</w:t>
      </w:r>
    </w:p>
    <w:p w:rsidR="0032504F" w:rsidRDefault="0032504F" w:rsidP="003B5CD7">
      <w:pPr>
        <w:ind w:left="1440"/>
        <w:jc w:val="center"/>
        <w:rPr>
          <w:b/>
          <w:bCs/>
        </w:rPr>
      </w:pPr>
      <w:r>
        <w:rPr>
          <w:b/>
          <w:bCs/>
        </w:rPr>
        <w:t>по расходам</w:t>
      </w:r>
      <w:r w:rsidR="003B5CD7">
        <w:rPr>
          <w:b/>
          <w:bCs/>
        </w:rPr>
        <w:t xml:space="preserve"> за </w:t>
      </w:r>
      <w:r w:rsidR="000909A8">
        <w:rPr>
          <w:b/>
          <w:bCs/>
        </w:rPr>
        <w:t>девять месяцев</w:t>
      </w:r>
      <w:r w:rsidR="003B5CD7">
        <w:rPr>
          <w:b/>
          <w:bCs/>
        </w:rPr>
        <w:t xml:space="preserve"> 201</w:t>
      </w:r>
      <w:r w:rsidR="002D2663">
        <w:rPr>
          <w:b/>
          <w:bCs/>
        </w:rPr>
        <w:t>4</w:t>
      </w:r>
      <w:r w:rsidR="003B5CD7">
        <w:rPr>
          <w:b/>
          <w:bCs/>
        </w:rPr>
        <w:t xml:space="preserve"> года</w:t>
      </w:r>
    </w:p>
    <w:p w:rsidR="0032504F" w:rsidRDefault="0032504F">
      <w:pPr>
        <w:rPr>
          <w:b/>
          <w:bCs/>
        </w:rPr>
      </w:pPr>
    </w:p>
    <w:p w:rsidR="0032504F" w:rsidRPr="000E2085" w:rsidRDefault="0032504F">
      <w:pPr>
        <w:jc w:val="both"/>
      </w:pPr>
      <w:r>
        <w:tab/>
      </w:r>
      <w:r w:rsidRPr="000E2085">
        <w:t xml:space="preserve">Расходы из бюджета городского округа Вичуга за </w:t>
      </w:r>
      <w:r w:rsidR="008452D9" w:rsidRPr="000E2085">
        <w:t>девять месяцев</w:t>
      </w:r>
      <w:r w:rsidRPr="000E2085">
        <w:t xml:space="preserve"> 201</w:t>
      </w:r>
      <w:r w:rsidR="00C82142" w:rsidRPr="000E2085">
        <w:t>4</w:t>
      </w:r>
      <w:r w:rsidRPr="000E2085">
        <w:t xml:space="preserve"> года произведены в сумме </w:t>
      </w:r>
      <w:r w:rsidR="008452D9" w:rsidRPr="000E2085">
        <w:t>294384,0</w:t>
      </w:r>
      <w:r w:rsidRPr="000E2085">
        <w:t xml:space="preserve"> тыс. рублей, или </w:t>
      </w:r>
      <w:r w:rsidR="008452D9" w:rsidRPr="000E2085">
        <w:t>54,77</w:t>
      </w:r>
      <w:r w:rsidRPr="000E2085">
        <w:t>% к годовому плану (</w:t>
      </w:r>
      <w:r w:rsidR="008452D9" w:rsidRPr="000E2085">
        <w:t>537442,6</w:t>
      </w:r>
      <w:r w:rsidRPr="000E2085">
        <w:t xml:space="preserve"> тыс. рублей).</w:t>
      </w:r>
    </w:p>
    <w:p w:rsidR="0032504F" w:rsidRDefault="0032504F">
      <w:pPr>
        <w:jc w:val="both"/>
      </w:pPr>
      <w:r w:rsidRPr="000E2085">
        <w:tab/>
        <w:t>Анализ исполнения расходов в разрезе функциональной классификации на 01.</w:t>
      </w:r>
      <w:r w:rsidR="000E2085" w:rsidRPr="000E2085">
        <w:t>10</w:t>
      </w:r>
      <w:r w:rsidRPr="000E2085">
        <w:t>.201</w:t>
      </w:r>
      <w:r w:rsidR="00FA3847" w:rsidRPr="000E2085">
        <w:t>4</w:t>
      </w:r>
      <w:r w:rsidRPr="000E2085">
        <w:t xml:space="preserve"> года показывает</w:t>
      </w:r>
      <w:r w:rsidR="009C6D21" w:rsidRPr="000E2085">
        <w:t xml:space="preserve"> (Таблица №3)</w:t>
      </w:r>
      <w:r w:rsidRPr="000E2085">
        <w:t xml:space="preserve">, </w:t>
      </w:r>
      <w:r w:rsidRPr="004911B6">
        <w:t xml:space="preserve">что наибольший удельный вес в структуре расходов от общих расходов за </w:t>
      </w:r>
      <w:r w:rsidR="004911B6" w:rsidRPr="004911B6">
        <w:t>девять месяцев</w:t>
      </w:r>
      <w:r w:rsidRPr="004911B6">
        <w:t xml:space="preserve"> 201</w:t>
      </w:r>
      <w:r w:rsidR="00237ED2" w:rsidRPr="004911B6">
        <w:t>4</w:t>
      </w:r>
      <w:r w:rsidRPr="004911B6">
        <w:t xml:space="preserve"> года занимают расходы </w:t>
      </w:r>
      <w:r w:rsidRPr="002549F7">
        <w:t xml:space="preserve">на образование — </w:t>
      </w:r>
      <w:r w:rsidR="002549F7" w:rsidRPr="002549F7">
        <w:t>61,99</w:t>
      </w:r>
      <w:r w:rsidRPr="002549F7">
        <w:t xml:space="preserve">%, жилищно-коммунальное хозяйство — </w:t>
      </w:r>
      <w:r w:rsidR="002549F7" w:rsidRPr="002549F7">
        <w:t>9,94</w:t>
      </w:r>
      <w:r w:rsidR="00871E4B" w:rsidRPr="002549F7">
        <w:t xml:space="preserve"> </w:t>
      </w:r>
      <w:r w:rsidRPr="002549F7">
        <w:t xml:space="preserve">%, общегосударственные вопросы — </w:t>
      </w:r>
      <w:r w:rsidR="00237ED2" w:rsidRPr="002549F7">
        <w:t>9,</w:t>
      </w:r>
      <w:r w:rsidR="002549F7" w:rsidRPr="002549F7">
        <w:t>69</w:t>
      </w:r>
      <w:r w:rsidRPr="002549F7">
        <w:t>%,</w:t>
      </w:r>
      <w:r w:rsidR="003608AF" w:rsidRPr="002549F7">
        <w:t xml:space="preserve"> </w:t>
      </w:r>
      <w:r w:rsidR="00237ED2" w:rsidRPr="002549F7">
        <w:t xml:space="preserve"> </w:t>
      </w:r>
      <w:r w:rsidR="00237ED2" w:rsidRPr="00A0100B">
        <w:t xml:space="preserve">культура и кинематография — </w:t>
      </w:r>
      <w:r w:rsidR="00A0100B" w:rsidRPr="00A0100B">
        <w:t>7,34</w:t>
      </w:r>
      <w:r w:rsidR="00237ED2" w:rsidRPr="00A0100B">
        <w:t xml:space="preserve">%, </w:t>
      </w:r>
      <w:r w:rsidR="00F946CF" w:rsidRPr="00F946CF">
        <w:t xml:space="preserve">национальная экономика — </w:t>
      </w:r>
      <w:r w:rsidR="00F946CF">
        <w:t>5,1</w:t>
      </w:r>
      <w:r w:rsidR="00F946CF" w:rsidRPr="00F946CF">
        <w:t xml:space="preserve">%,  </w:t>
      </w:r>
      <w:r w:rsidRPr="00F946CF">
        <w:t xml:space="preserve">физическая культура и спорт — </w:t>
      </w:r>
      <w:r w:rsidR="00F946CF" w:rsidRPr="00F946CF">
        <w:t>2,73</w:t>
      </w:r>
      <w:r w:rsidRPr="00F946CF">
        <w:t>%,</w:t>
      </w:r>
      <w:r w:rsidR="00237ED2" w:rsidRPr="00F946CF">
        <w:t xml:space="preserve"> </w:t>
      </w:r>
      <w:r w:rsidRPr="00F946CF">
        <w:t xml:space="preserve">социальная политика — </w:t>
      </w:r>
      <w:r w:rsidR="00F946CF" w:rsidRPr="00F946CF">
        <w:t>2,28</w:t>
      </w:r>
      <w:r w:rsidRPr="00851340">
        <w:t>%, национальная безопасность и правоохранительная деятельност</w:t>
      </w:r>
      <w:r w:rsidR="003608AF" w:rsidRPr="00851340">
        <w:t>ь</w:t>
      </w:r>
      <w:r w:rsidRPr="00851340">
        <w:t xml:space="preserve"> — 0,</w:t>
      </w:r>
      <w:r w:rsidR="00237ED2" w:rsidRPr="00851340">
        <w:t>5</w:t>
      </w:r>
      <w:r w:rsidR="00851340" w:rsidRPr="00851340">
        <w:t>9</w:t>
      </w:r>
      <w:r w:rsidRPr="00851340">
        <w:t>%, сред</w:t>
      </w:r>
      <w:r w:rsidR="003608AF" w:rsidRPr="00851340">
        <w:t>ства массовой информации — 0,3</w:t>
      </w:r>
      <w:r w:rsidR="00851340" w:rsidRPr="00851340">
        <w:t>4</w:t>
      </w:r>
      <w:r w:rsidR="003608AF" w:rsidRPr="00851340">
        <w:t>%, обслуживание государственного внутреннего и муниципального долга – 0%.</w:t>
      </w:r>
    </w:p>
    <w:p w:rsidR="00455E50" w:rsidRDefault="00455E50">
      <w:pPr>
        <w:jc w:val="both"/>
      </w:pPr>
    </w:p>
    <w:p w:rsidR="00455E50" w:rsidRDefault="00455E50" w:rsidP="00455E50">
      <w:pPr>
        <w:jc w:val="center"/>
        <w:rPr>
          <w:b/>
        </w:rPr>
      </w:pPr>
      <w:r w:rsidRPr="00BE0979">
        <w:rPr>
          <w:b/>
        </w:rPr>
        <w:t xml:space="preserve">Исполнение бюджета городского округа Вичуга за </w:t>
      </w:r>
      <w:r w:rsidR="00E477A4">
        <w:rPr>
          <w:b/>
        </w:rPr>
        <w:t>девять мес</w:t>
      </w:r>
      <w:r w:rsidR="009404CE">
        <w:rPr>
          <w:b/>
        </w:rPr>
        <w:t>я</w:t>
      </w:r>
      <w:r w:rsidR="00E477A4">
        <w:rPr>
          <w:b/>
        </w:rPr>
        <w:t>цев</w:t>
      </w:r>
      <w:r w:rsidRPr="00BE0979">
        <w:rPr>
          <w:b/>
        </w:rPr>
        <w:t xml:space="preserve"> 201</w:t>
      </w:r>
      <w:r w:rsidR="00737005">
        <w:rPr>
          <w:b/>
        </w:rPr>
        <w:t>4</w:t>
      </w:r>
      <w:r w:rsidRPr="00BE0979">
        <w:rPr>
          <w:b/>
        </w:rPr>
        <w:t xml:space="preserve"> года </w:t>
      </w:r>
    </w:p>
    <w:p w:rsidR="00455E50" w:rsidRPr="00BE0979" w:rsidRDefault="00455E50" w:rsidP="00455E50">
      <w:pPr>
        <w:jc w:val="center"/>
        <w:rPr>
          <w:b/>
        </w:rPr>
      </w:pPr>
      <w:r w:rsidRPr="00BE0979">
        <w:rPr>
          <w:b/>
        </w:rPr>
        <w:t xml:space="preserve">по </w:t>
      </w:r>
      <w:r>
        <w:rPr>
          <w:b/>
        </w:rPr>
        <w:t xml:space="preserve">расходам </w:t>
      </w:r>
      <w:r w:rsidRPr="00455E50">
        <w:rPr>
          <w:b/>
        </w:rPr>
        <w:t>в разрезе функциональной классификации</w:t>
      </w:r>
    </w:p>
    <w:p w:rsidR="00455E50" w:rsidRDefault="00455E50">
      <w:pPr>
        <w:jc w:val="both"/>
      </w:pPr>
    </w:p>
    <w:p w:rsidR="009C6D21" w:rsidRPr="009C6D21" w:rsidRDefault="00590BFB" w:rsidP="009C6D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276"/>
        <w:gridCol w:w="1241"/>
      </w:tblGrid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9E159D" w:rsidRDefault="009C6D21" w:rsidP="00903FD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C6D21" w:rsidRDefault="009C6D21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Уточненный план</w:t>
            </w:r>
          </w:p>
          <w:p w:rsidR="00590BFB" w:rsidRPr="009E159D" w:rsidRDefault="00590BFB" w:rsidP="009E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9C6D21" w:rsidRDefault="00590BFB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И</w:t>
            </w:r>
            <w:r w:rsidR="009C6D21" w:rsidRPr="009E159D">
              <w:rPr>
                <w:sz w:val="20"/>
                <w:szCs w:val="20"/>
              </w:rPr>
              <w:t>сполнение</w:t>
            </w:r>
          </w:p>
          <w:p w:rsidR="00590BFB" w:rsidRPr="009E159D" w:rsidRDefault="00590BFB" w:rsidP="009E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9C6D21" w:rsidRPr="009E159D" w:rsidRDefault="009C6D21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% выполнения к плану</w:t>
            </w:r>
          </w:p>
        </w:tc>
        <w:tc>
          <w:tcPr>
            <w:tcW w:w="1241" w:type="dxa"/>
            <w:shd w:val="clear" w:color="auto" w:fill="auto"/>
          </w:tcPr>
          <w:p w:rsidR="009C6D21" w:rsidRPr="009E159D" w:rsidRDefault="009C6D21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Структура</w:t>
            </w:r>
            <w:r w:rsidR="00810DD0">
              <w:rPr>
                <w:sz w:val="20"/>
                <w:szCs w:val="20"/>
              </w:rPr>
              <w:t xml:space="preserve"> исполнения</w:t>
            </w:r>
          </w:p>
          <w:p w:rsidR="009C6D21" w:rsidRPr="009E159D" w:rsidRDefault="009C6D21" w:rsidP="009E159D">
            <w:pPr>
              <w:jc w:val="center"/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%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41946,2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28547,5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68,05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91150B" w:rsidP="006C5265">
            <w:pPr>
              <w:rPr>
                <w:b/>
              </w:rPr>
            </w:pPr>
            <w:r>
              <w:rPr>
                <w:b/>
              </w:rPr>
              <w:t>9,69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1016,1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4244,3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3031,7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71,42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17042,1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12453,1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5513,1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4116,4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74,66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13030,6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8182,1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Национальная безопасность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2449,2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1741,2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71,09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0,59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2449,2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1741,2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91150B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71,09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91150B" w:rsidP="000C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20561,1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15041,6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73,15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91150B" w:rsidP="009E159D">
            <w:pPr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2041A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2041A4" w:rsidRPr="009E159D" w:rsidRDefault="002041A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:rsidR="002041A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19367,6</w:t>
            </w:r>
          </w:p>
        </w:tc>
        <w:tc>
          <w:tcPr>
            <w:tcW w:w="1559" w:type="dxa"/>
            <w:shd w:val="clear" w:color="auto" w:fill="auto"/>
          </w:tcPr>
          <w:p w:rsidR="002041A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14733,5</w:t>
            </w:r>
          </w:p>
        </w:tc>
        <w:tc>
          <w:tcPr>
            <w:tcW w:w="1276" w:type="dxa"/>
            <w:shd w:val="clear" w:color="auto" w:fill="auto"/>
          </w:tcPr>
          <w:p w:rsidR="002041A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76,07</w:t>
            </w:r>
          </w:p>
        </w:tc>
        <w:tc>
          <w:tcPr>
            <w:tcW w:w="1241" w:type="dxa"/>
            <w:shd w:val="clear" w:color="auto" w:fill="auto"/>
          </w:tcPr>
          <w:p w:rsidR="002041A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D43FC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5D43FC" w:rsidRPr="009E159D" w:rsidRDefault="005D43FC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:rsidR="005D43FC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1193,5</w:t>
            </w:r>
          </w:p>
        </w:tc>
        <w:tc>
          <w:tcPr>
            <w:tcW w:w="1559" w:type="dxa"/>
            <w:shd w:val="clear" w:color="auto" w:fill="auto"/>
          </w:tcPr>
          <w:p w:rsidR="005D43FC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1276" w:type="dxa"/>
            <w:shd w:val="clear" w:color="auto" w:fill="auto"/>
          </w:tcPr>
          <w:p w:rsidR="005D43FC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41" w:type="dxa"/>
            <w:shd w:val="clear" w:color="auto" w:fill="auto"/>
          </w:tcPr>
          <w:p w:rsidR="005D43FC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A84C54" w:rsidP="009E159D">
            <w:pPr>
              <w:rPr>
                <w:b/>
              </w:rPr>
            </w:pPr>
            <w:r>
              <w:rPr>
                <w:b/>
              </w:rPr>
              <w:t>121925,3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A84C54" w:rsidP="009E159D">
            <w:pPr>
              <w:rPr>
                <w:b/>
              </w:rPr>
            </w:pPr>
            <w:r>
              <w:rPr>
                <w:b/>
              </w:rPr>
              <w:t>29246,9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A84C54" w:rsidP="009E159D">
            <w:pPr>
              <w:rPr>
                <w:b/>
              </w:rPr>
            </w:pPr>
            <w:r>
              <w:rPr>
                <w:b/>
              </w:rPr>
              <w:t>23,98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A84C54" w:rsidP="009E159D">
            <w:pPr>
              <w:rPr>
                <w:b/>
              </w:rPr>
            </w:pPr>
            <w:r>
              <w:rPr>
                <w:b/>
              </w:rPr>
              <w:t>9,94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83392,1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2382,0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A84C54" w:rsidP="00940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8570,6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A84C54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29736,6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27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20327,6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</w:tr>
      <w:tr w:rsidR="003E02BD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E02BD" w:rsidRPr="009E159D" w:rsidRDefault="003E02BD" w:rsidP="003E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3E02BD" w:rsidRPr="009E159D" w:rsidRDefault="003E02BD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  <w:r w:rsidR="009115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02BD" w:rsidRPr="009E159D" w:rsidRDefault="0079211F" w:rsidP="0027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E02BD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E02BD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287761,9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182508,9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63,42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61,99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116854,2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72731,6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149274,0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96640,5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64,74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32,83</w:t>
            </w:r>
          </w:p>
        </w:tc>
      </w:tr>
      <w:tr w:rsidR="00A47E88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A47E88" w:rsidRPr="009E159D" w:rsidRDefault="00A47E88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:rsidR="00A47E88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A47E88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7E88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A47E88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4789,2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2748,5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57,38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16814,2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10388,4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61,78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31790,5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21588,1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79211F" w:rsidP="009E159D">
            <w:pPr>
              <w:rPr>
                <w:b/>
              </w:rPr>
            </w:pPr>
            <w:r>
              <w:rPr>
                <w:b/>
              </w:rPr>
              <w:t>7,34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29344,7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19718,0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79211F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67,19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335A74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335A74" w:rsidRPr="009E159D" w:rsidRDefault="00335A74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</w:tcPr>
          <w:p w:rsidR="00335A74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2445,8</w:t>
            </w:r>
          </w:p>
        </w:tc>
        <w:tc>
          <w:tcPr>
            <w:tcW w:w="1559" w:type="dxa"/>
            <w:shd w:val="clear" w:color="auto" w:fill="auto"/>
          </w:tcPr>
          <w:p w:rsidR="00335A74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1870,0</w:t>
            </w:r>
          </w:p>
        </w:tc>
        <w:tc>
          <w:tcPr>
            <w:tcW w:w="1276" w:type="dxa"/>
            <w:shd w:val="clear" w:color="auto" w:fill="auto"/>
          </w:tcPr>
          <w:p w:rsidR="00335A74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</w:t>
            </w:r>
          </w:p>
        </w:tc>
        <w:tc>
          <w:tcPr>
            <w:tcW w:w="1241" w:type="dxa"/>
            <w:shd w:val="clear" w:color="auto" w:fill="auto"/>
          </w:tcPr>
          <w:p w:rsidR="00335A74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18819,9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6713,9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35,67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2,28</w:t>
            </w:r>
          </w:p>
        </w:tc>
      </w:tr>
      <w:tr w:rsidR="008E7DF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8E7DF1" w:rsidRPr="009E159D" w:rsidRDefault="008E7DF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622,2</w:t>
            </w:r>
          </w:p>
        </w:tc>
        <w:tc>
          <w:tcPr>
            <w:tcW w:w="1559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482,3</w:t>
            </w:r>
          </w:p>
        </w:tc>
        <w:tc>
          <w:tcPr>
            <w:tcW w:w="1276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77,51</w:t>
            </w:r>
          </w:p>
        </w:tc>
        <w:tc>
          <w:tcPr>
            <w:tcW w:w="124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8E7DF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8E7DF1" w:rsidRPr="009E159D" w:rsidRDefault="008E7DF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13267,6</w:t>
            </w:r>
          </w:p>
        </w:tc>
        <w:tc>
          <w:tcPr>
            <w:tcW w:w="1559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4214,5</w:t>
            </w:r>
          </w:p>
        </w:tc>
        <w:tc>
          <w:tcPr>
            <w:tcW w:w="1276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31,76</w:t>
            </w:r>
          </w:p>
        </w:tc>
        <w:tc>
          <w:tcPr>
            <w:tcW w:w="124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8E7DF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8E7DF1" w:rsidRPr="009E159D" w:rsidRDefault="008E7DF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4618,1</w:t>
            </w:r>
          </w:p>
        </w:tc>
        <w:tc>
          <w:tcPr>
            <w:tcW w:w="1559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1780,8</w:t>
            </w:r>
          </w:p>
        </w:tc>
        <w:tc>
          <w:tcPr>
            <w:tcW w:w="1276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</w:t>
            </w:r>
          </w:p>
        </w:tc>
        <w:tc>
          <w:tcPr>
            <w:tcW w:w="124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8E7DF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8E7DF1" w:rsidRPr="009E159D" w:rsidRDefault="008E7DF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559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</w:t>
            </w:r>
          </w:p>
        </w:tc>
        <w:tc>
          <w:tcPr>
            <w:tcW w:w="1276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</w:t>
            </w:r>
          </w:p>
        </w:tc>
        <w:tc>
          <w:tcPr>
            <w:tcW w:w="1241" w:type="dxa"/>
            <w:shd w:val="clear" w:color="auto" w:fill="auto"/>
          </w:tcPr>
          <w:p w:rsidR="008E7DF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10786,6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8018,3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74,33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2,73</w:t>
            </w:r>
          </w:p>
        </w:tc>
      </w:tr>
      <w:tr w:rsidR="009C7AE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7AE1" w:rsidRPr="009E159D" w:rsidRDefault="009C7AE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7081,6</w:t>
            </w:r>
          </w:p>
        </w:tc>
        <w:tc>
          <w:tcPr>
            <w:tcW w:w="1559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4722,5</w:t>
            </w:r>
          </w:p>
        </w:tc>
        <w:tc>
          <w:tcPr>
            <w:tcW w:w="1276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66,68</w:t>
            </w:r>
          </w:p>
        </w:tc>
        <w:tc>
          <w:tcPr>
            <w:tcW w:w="124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</w:tr>
      <w:tr w:rsidR="009C7AE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7AE1" w:rsidRPr="009E159D" w:rsidRDefault="009C7AE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559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877,2</w:t>
            </w:r>
          </w:p>
        </w:tc>
        <w:tc>
          <w:tcPr>
            <w:tcW w:w="1276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98,56</w:t>
            </w:r>
          </w:p>
        </w:tc>
        <w:tc>
          <w:tcPr>
            <w:tcW w:w="124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9C7AE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7AE1" w:rsidRPr="009E159D" w:rsidRDefault="009C7AE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2815,0</w:t>
            </w:r>
          </w:p>
        </w:tc>
        <w:tc>
          <w:tcPr>
            <w:tcW w:w="1559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2418,5</w:t>
            </w:r>
          </w:p>
        </w:tc>
        <w:tc>
          <w:tcPr>
            <w:tcW w:w="1276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  <w:tc>
          <w:tcPr>
            <w:tcW w:w="124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1201,9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81,33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0,34</w:t>
            </w:r>
          </w:p>
        </w:tc>
      </w:tr>
      <w:tr w:rsidR="009C7AE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7AE1" w:rsidRPr="009E159D" w:rsidRDefault="009C7AE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1201,9</w:t>
            </w:r>
          </w:p>
        </w:tc>
        <w:tc>
          <w:tcPr>
            <w:tcW w:w="1559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1276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81,33</w:t>
            </w:r>
          </w:p>
        </w:tc>
        <w:tc>
          <w:tcPr>
            <w:tcW w:w="1241" w:type="dxa"/>
            <w:shd w:val="clear" w:color="auto" w:fill="auto"/>
          </w:tcPr>
          <w:p w:rsidR="009C7AE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19084F" w:rsidP="009E159D">
            <w:pPr>
              <w:rPr>
                <w:b/>
              </w:rPr>
            </w:pPr>
            <w:r w:rsidRPr="00810DD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9E159D" w:rsidRDefault="009C7AE1" w:rsidP="009E159D">
            <w:pPr>
              <w:rPr>
                <w:sz w:val="20"/>
                <w:szCs w:val="20"/>
              </w:rPr>
            </w:pPr>
            <w:r w:rsidRPr="009E159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shd w:val="clear" w:color="auto" w:fill="auto"/>
          </w:tcPr>
          <w:p w:rsidR="009C6D2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9C6D2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6D2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C6D21" w:rsidRPr="009E159D" w:rsidRDefault="00F00AC5" w:rsidP="009E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6D21" w:rsidRPr="009E159D" w:rsidTr="009E159D">
        <w:trPr>
          <w:jc w:val="center"/>
        </w:trPr>
        <w:tc>
          <w:tcPr>
            <w:tcW w:w="3794" w:type="dxa"/>
            <w:shd w:val="clear" w:color="auto" w:fill="auto"/>
          </w:tcPr>
          <w:p w:rsidR="009C6D21" w:rsidRPr="00810DD0" w:rsidRDefault="009C6D21" w:rsidP="009E159D">
            <w:pPr>
              <w:rPr>
                <w:b/>
              </w:rPr>
            </w:pPr>
            <w:r w:rsidRPr="00810DD0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537442,6</w:t>
            </w:r>
          </w:p>
        </w:tc>
        <w:tc>
          <w:tcPr>
            <w:tcW w:w="1559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294384,0</w:t>
            </w:r>
          </w:p>
        </w:tc>
        <w:tc>
          <w:tcPr>
            <w:tcW w:w="1276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54,77</w:t>
            </w:r>
          </w:p>
        </w:tc>
        <w:tc>
          <w:tcPr>
            <w:tcW w:w="1241" w:type="dxa"/>
            <w:shd w:val="clear" w:color="auto" w:fill="auto"/>
          </w:tcPr>
          <w:p w:rsidR="009C6D21" w:rsidRPr="00810DD0" w:rsidRDefault="00F00AC5" w:rsidP="009E159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32504F" w:rsidRDefault="0032504F">
      <w:pPr>
        <w:jc w:val="both"/>
      </w:pPr>
    </w:p>
    <w:p w:rsidR="001B6A97" w:rsidRDefault="001B6A97">
      <w:pPr>
        <w:jc w:val="both"/>
      </w:pPr>
    </w:p>
    <w:p w:rsidR="0032504F" w:rsidRDefault="0032504F">
      <w:pPr>
        <w:jc w:val="both"/>
      </w:pPr>
      <w:r>
        <w:tab/>
      </w:r>
      <w:r w:rsidRPr="00735EF6">
        <w:t>Расх</w:t>
      </w:r>
      <w:r w:rsidRPr="00DC7A03">
        <w:t>оды</w:t>
      </w:r>
      <w:r>
        <w:t xml:space="preserve"> по разделу </w:t>
      </w:r>
      <w:r>
        <w:rPr>
          <w:b/>
          <w:bCs/>
        </w:rPr>
        <w:t>0100 «Общегосударственные вопросы»</w:t>
      </w:r>
      <w:r>
        <w:t xml:space="preserve"> исполнены в размере </w:t>
      </w:r>
      <w:r w:rsidR="00FD21F9">
        <w:t>28547,5</w:t>
      </w:r>
      <w:r>
        <w:t xml:space="preserve"> тыс. рублей, что составляет </w:t>
      </w:r>
      <w:r w:rsidR="00FD21F9">
        <w:t>68,05</w:t>
      </w:r>
      <w:r>
        <w:t xml:space="preserve">% от годовых бюджетных назначений в размере </w:t>
      </w:r>
      <w:r w:rsidR="00735EF6">
        <w:t>41946,2</w:t>
      </w:r>
      <w:r>
        <w:t xml:space="preserve"> тыс. рублей. Основную часть расходов по данному разделу составили расходы по подразделу 0104 «Функционирование Правительства Российской Федерации, высших исполнительных органов исполнительной власти субъектов Российской Федерации, местных администраций» - </w:t>
      </w:r>
      <w:r w:rsidR="004C2B16">
        <w:t>43,</w:t>
      </w:r>
      <w:r w:rsidR="0081746E">
        <w:t>62</w:t>
      </w:r>
      <w:r>
        <w:t xml:space="preserve">%, </w:t>
      </w:r>
      <w:r w:rsidRPr="002D2663">
        <w:t>0113</w:t>
      </w:r>
      <w:r>
        <w:t xml:space="preserve"> «Другие общегосударственные вопросы» - </w:t>
      </w:r>
      <w:r w:rsidR="002D2663">
        <w:t>28,</w:t>
      </w:r>
      <w:r w:rsidR="0081746E">
        <w:t>66</w:t>
      </w:r>
      <w:r>
        <w:t xml:space="preserve">%,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2D2663">
        <w:t>14,4</w:t>
      </w:r>
      <w:r w:rsidR="0081746E">
        <w:t>1</w:t>
      </w:r>
      <w:r>
        <w:t xml:space="preserve">%,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CF4CBD">
        <w:t xml:space="preserve">- </w:t>
      </w:r>
      <w:r w:rsidR="00241D35">
        <w:t>10,</w:t>
      </w:r>
      <w:r w:rsidR="002D2663">
        <w:t>6</w:t>
      </w:r>
      <w:r w:rsidR="0081746E">
        <w:t>1</w:t>
      </w:r>
      <w:r>
        <w:t>%</w:t>
      </w:r>
      <w:r w:rsidR="0081746E">
        <w:t>, «Функционирование высшего должностного лица субъекта РФ и муниципального образования» - 2,67%</w:t>
      </w:r>
      <w:r>
        <w:t>.</w:t>
      </w:r>
    </w:p>
    <w:p w:rsidR="0032504F" w:rsidRDefault="0032504F">
      <w:pPr>
        <w:jc w:val="both"/>
      </w:pPr>
      <w:r>
        <w:tab/>
      </w:r>
      <w:r w:rsidRPr="006C094B">
        <w:t>В р</w:t>
      </w:r>
      <w:r>
        <w:t>азрезе подразделов расходы распределились следующим образом:</w:t>
      </w:r>
    </w:p>
    <w:p w:rsidR="0032504F" w:rsidRDefault="0032504F">
      <w:pPr>
        <w:jc w:val="both"/>
      </w:pPr>
      <w:r>
        <w:tab/>
        <w:t xml:space="preserve">0102 «Функционирование высшего должностного лица субъекта Российской Федерации и муниципального образования» - </w:t>
      </w:r>
      <w:r w:rsidR="00CA3271">
        <w:t>764,2</w:t>
      </w:r>
      <w:r>
        <w:t xml:space="preserve"> тыс. рублей, или </w:t>
      </w:r>
      <w:r w:rsidR="00CA3271">
        <w:t>75,2</w:t>
      </w:r>
      <w:r>
        <w:t>% от утвержденных годовых бюджетных назначений (</w:t>
      </w:r>
      <w:r w:rsidR="006C094B">
        <w:t>1016,1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="00CA3271">
        <w:t>3031,7</w:t>
      </w:r>
      <w:r>
        <w:t xml:space="preserve"> тыс. рублей, или </w:t>
      </w:r>
      <w:r w:rsidR="00CA3271">
        <w:t>71,42</w:t>
      </w:r>
      <w:r>
        <w:t>% от утвержденных бюджетных назначений (</w:t>
      </w:r>
      <w:r w:rsidR="009113D1">
        <w:t>4244,3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0104 «Функционирование Правительства Российской Федерации, высших исполнительных органов </w:t>
      </w:r>
      <w:r w:rsidR="00B13D2E">
        <w:t>государственной</w:t>
      </w:r>
      <w:r>
        <w:t xml:space="preserve"> власти субъектов Российской Федерации, местных администраций» - </w:t>
      </w:r>
      <w:r w:rsidR="004D1214">
        <w:t>12453,1</w:t>
      </w:r>
      <w:r>
        <w:t xml:space="preserve"> тыс. рублей, или </w:t>
      </w:r>
      <w:r w:rsidR="002746B5">
        <w:t>73,07</w:t>
      </w:r>
      <w:r>
        <w:t>% от утвержденных бюджетных назначений (</w:t>
      </w:r>
      <w:r w:rsidR="00C07ABA">
        <w:t>170</w:t>
      </w:r>
      <w:r w:rsidR="002746B5">
        <w:t>4</w:t>
      </w:r>
      <w:r w:rsidR="00C07ABA">
        <w:t>2,1</w:t>
      </w:r>
      <w:r>
        <w:t xml:space="preserve"> тыс. рублей);</w:t>
      </w:r>
    </w:p>
    <w:p w:rsidR="0032504F" w:rsidRDefault="0032504F">
      <w:pPr>
        <w:jc w:val="both"/>
      </w:pPr>
      <w:r>
        <w:tab/>
      </w:r>
      <w:r w:rsidRPr="005C178E">
        <w:t>0106</w:t>
      </w:r>
      <w:r>
        <w:t xml:space="preserve"> «Обеспечение деятельности финансовых, налоговых и таможенных органов и органов финансового (финансово-бюджетного) надзора» - </w:t>
      </w:r>
      <w:r w:rsidR="00484805">
        <w:t>4116,4</w:t>
      </w:r>
      <w:r>
        <w:t xml:space="preserve"> тыс. рублей, или </w:t>
      </w:r>
      <w:r w:rsidR="00484805">
        <w:t>74,66</w:t>
      </w:r>
      <w:r>
        <w:t>% от утвержденных бюджетных назначений (</w:t>
      </w:r>
      <w:r w:rsidR="00741CBE">
        <w:t>5513,1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0111 «Резервные фонды» - в  </w:t>
      </w:r>
      <w:r w:rsidR="00CA7625">
        <w:t>первом</w:t>
      </w:r>
      <w:r w:rsidRPr="00555C8B">
        <w:t xml:space="preserve"> </w:t>
      </w:r>
      <w:r w:rsidR="00CA7625">
        <w:t>полугодии</w:t>
      </w:r>
      <w:r w:rsidRPr="00555C8B">
        <w:t xml:space="preserve"> 201</w:t>
      </w:r>
      <w:r w:rsidR="00741CBE">
        <w:t>4</w:t>
      </w:r>
      <w:r w:rsidR="0042211A">
        <w:t xml:space="preserve"> года</w:t>
      </w:r>
      <w:r w:rsidRPr="00555C8B">
        <w:t xml:space="preserve"> </w:t>
      </w:r>
      <w:r>
        <w:t xml:space="preserve">исполнение равно 0, утвержденные бюджетные назначения — </w:t>
      </w:r>
      <w:r w:rsidR="00741CBE">
        <w:t>1100,0</w:t>
      </w:r>
      <w:r>
        <w:t xml:space="preserve"> тыс. рублей;</w:t>
      </w:r>
    </w:p>
    <w:p w:rsidR="0032504F" w:rsidRDefault="0032504F">
      <w:pPr>
        <w:jc w:val="both"/>
        <w:rPr>
          <w:b/>
          <w:bCs/>
        </w:rPr>
      </w:pPr>
      <w:r>
        <w:tab/>
        <w:t xml:space="preserve">0113 «Другие общегосударственные вопросы» - </w:t>
      </w:r>
      <w:r w:rsidR="00D35DD6">
        <w:t>8182,1</w:t>
      </w:r>
      <w:r>
        <w:t xml:space="preserve"> тыс. рублей, или </w:t>
      </w:r>
      <w:r w:rsidR="00D35DD6">
        <w:t>62,79</w:t>
      </w:r>
      <w:r>
        <w:t>% от утвержденных бюджетных назначений (</w:t>
      </w:r>
      <w:r w:rsidR="00D35DD6">
        <w:t>13030,6</w:t>
      </w:r>
      <w:r>
        <w:t xml:space="preserve"> тыс. рублей).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  <w:rPr>
          <w:b/>
          <w:bCs/>
        </w:rPr>
      </w:pPr>
      <w:r>
        <w:rPr>
          <w:b/>
          <w:bCs/>
        </w:rPr>
        <w:tab/>
      </w:r>
      <w:r w:rsidRPr="005B561A">
        <w:t>По</w:t>
      </w:r>
      <w:r>
        <w:t xml:space="preserve"> разделу </w:t>
      </w:r>
      <w:r>
        <w:rPr>
          <w:b/>
          <w:bCs/>
        </w:rPr>
        <w:t xml:space="preserve">0300 «Национальная безопасность и правоохранительная деятельность» </w:t>
      </w:r>
      <w:r>
        <w:t xml:space="preserve">расходы исполнены </w:t>
      </w:r>
      <w:r w:rsidR="00027479">
        <w:t xml:space="preserve">в </w:t>
      </w:r>
      <w:r>
        <w:t xml:space="preserve">размере </w:t>
      </w:r>
      <w:r w:rsidR="00C85880">
        <w:t>1741,2</w:t>
      </w:r>
      <w:r>
        <w:t xml:space="preserve"> тыс. рублей, или </w:t>
      </w:r>
      <w:r w:rsidR="00C85880">
        <w:t>71,09</w:t>
      </w:r>
      <w:r>
        <w:t>% от годовых бюджетных назначений (</w:t>
      </w:r>
      <w:r w:rsidR="00EF6C47">
        <w:t>2449,2</w:t>
      </w:r>
      <w:r>
        <w:t xml:space="preserve"> тыс. рублей). По данному разделу произведены расходы по подразделу 0309 «Защита населения и территории от последствий чрезвычайных ситуаций природного и техногенного характера, гражданская оборона» - </w:t>
      </w:r>
      <w:r w:rsidR="00721F38">
        <w:t>1741,2</w:t>
      </w:r>
      <w:r>
        <w:t xml:space="preserve"> тыс. рублей.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  <w:r>
        <w:tab/>
        <w:t xml:space="preserve">Расходы по разделу </w:t>
      </w:r>
      <w:r>
        <w:rPr>
          <w:b/>
          <w:bCs/>
        </w:rPr>
        <w:t>0400 «Национальная экономика»</w:t>
      </w:r>
      <w:r>
        <w:t xml:space="preserve"> профинансированы в сумме </w:t>
      </w:r>
      <w:r w:rsidR="00324076">
        <w:t>15041,6</w:t>
      </w:r>
      <w:r>
        <w:t xml:space="preserve"> тыс. рублей, что составляет </w:t>
      </w:r>
      <w:r w:rsidR="00DF29AC">
        <w:t>73,15</w:t>
      </w:r>
      <w:r>
        <w:t xml:space="preserve">% к годовым бюджетным назначениям, установленным в размере </w:t>
      </w:r>
      <w:r w:rsidR="00DF29AC">
        <w:t>20561,1</w:t>
      </w:r>
      <w:r>
        <w:t xml:space="preserve"> тыс. рублей. Основную долю расходов по данному разделу составили расходы по подразделу 0409 «Дорожное хозяйство (дорожные фонды)» - </w:t>
      </w:r>
      <w:r w:rsidR="00C2799E">
        <w:t>14733,5</w:t>
      </w:r>
      <w:r>
        <w:t xml:space="preserve"> тыс. рублей.</w:t>
      </w:r>
    </w:p>
    <w:p w:rsidR="0032504F" w:rsidRDefault="0032504F">
      <w:pPr>
        <w:jc w:val="both"/>
      </w:pPr>
      <w:r>
        <w:tab/>
        <w:t>В разрезе подразделов расходы сложились следующим образом:</w:t>
      </w:r>
    </w:p>
    <w:p w:rsidR="0032504F" w:rsidRDefault="0032504F">
      <w:pPr>
        <w:jc w:val="both"/>
      </w:pPr>
      <w:r>
        <w:tab/>
        <w:t xml:space="preserve">0409 «Дорожное хозяйство (дорожные фонды)» - </w:t>
      </w:r>
      <w:r w:rsidR="00AE14FF">
        <w:t>14733,5</w:t>
      </w:r>
      <w:r>
        <w:t xml:space="preserve"> тыс. рублей, или </w:t>
      </w:r>
      <w:r w:rsidR="00AE14FF">
        <w:t>76,07</w:t>
      </w:r>
      <w:r>
        <w:t>% от годовых бюджетных назначений (</w:t>
      </w:r>
      <w:r w:rsidR="00AE14FF">
        <w:t>19367,6</w:t>
      </w:r>
      <w:r>
        <w:t xml:space="preserve"> тыс. рублей);</w:t>
      </w:r>
    </w:p>
    <w:p w:rsidR="0032504F" w:rsidRDefault="0032504F">
      <w:pPr>
        <w:jc w:val="both"/>
        <w:rPr>
          <w:b/>
          <w:bCs/>
        </w:rPr>
      </w:pPr>
      <w:r>
        <w:tab/>
        <w:t xml:space="preserve">0412 «Другие вопросы в области национальной экономики» - </w:t>
      </w:r>
      <w:r w:rsidR="00B70EC7">
        <w:t xml:space="preserve">исполнение равно </w:t>
      </w:r>
      <w:r w:rsidR="00960369">
        <w:t>308,0</w:t>
      </w:r>
      <w:r w:rsidR="00940CE1">
        <w:t xml:space="preserve"> тыс. рублей или </w:t>
      </w:r>
      <w:r w:rsidR="00960369">
        <w:t>25,8</w:t>
      </w:r>
      <w:r w:rsidR="00940CE1">
        <w:t>% от</w:t>
      </w:r>
      <w:r>
        <w:t xml:space="preserve"> годовы</w:t>
      </w:r>
      <w:r w:rsidR="00940CE1">
        <w:t>х</w:t>
      </w:r>
      <w:r>
        <w:t xml:space="preserve"> бюджетны</w:t>
      </w:r>
      <w:r w:rsidR="00940CE1">
        <w:t>х</w:t>
      </w:r>
      <w:r>
        <w:t xml:space="preserve"> назначени</w:t>
      </w:r>
      <w:r w:rsidR="00B70EC7">
        <w:t>я</w:t>
      </w:r>
      <w:r>
        <w:t xml:space="preserve"> (</w:t>
      </w:r>
      <w:r w:rsidR="00960369">
        <w:t>1193,5</w:t>
      </w:r>
      <w:r>
        <w:t xml:space="preserve"> тыс. рублей). 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  <w:r>
        <w:tab/>
        <w:t xml:space="preserve">Расходы по разделу </w:t>
      </w:r>
      <w:r>
        <w:rPr>
          <w:b/>
          <w:bCs/>
        </w:rPr>
        <w:t xml:space="preserve">0500 «Жилищно-коммунальное хозяйство» </w:t>
      </w:r>
      <w:r>
        <w:t xml:space="preserve">профинансированы на </w:t>
      </w:r>
      <w:r w:rsidR="00DA014A">
        <w:t>23,98</w:t>
      </w:r>
      <w:r>
        <w:t>% к годовым бюджетным назначениям (</w:t>
      </w:r>
      <w:r w:rsidR="00DA014A">
        <w:t>121925,3</w:t>
      </w:r>
      <w:r>
        <w:t xml:space="preserve"> тыс. рублей), и составляют </w:t>
      </w:r>
      <w:r w:rsidR="00DA014A">
        <w:t>29246,9</w:t>
      </w:r>
      <w:r>
        <w:t xml:space="preserve"> тыс. рублей.</w:t>
      </w:r>
    </w:p>
    <w:p w:rsidR="0032504F" w:rsidRDefault="0032504F">
      <w:pPr>
        <w:jc w:val="both"/>
      </w:pPr>
      <w:r>
        <w:tab/>
        <w:t>В разрезе подразделов расходы распределились следующим образом:</w:t>
      </w:r>
    </w:p>
    <w:p w:rsidR="0032504F" w:rsidRDefault="0032504F">
      <w:pPr>
        <w:jc w:val="both"/>
      </w:pPr>
      <w:r>
        <w:tab/>
        <w:t xml:space="preserve">0501 «Жилищное хозяйство» - </w:t>
      </w:r>
      <w:r w:rsidR="007C75F4">
        <w:t>2382,0</w:t>
      </w:r>
      <w:r>
        <w:t xml:space="preserve"> тыс. рублей, или </w:t>
      </w:r>
      <w:r w:rsidR="007C75F4">
        <w:t>2,85</w:t>
      </w:r>
      <w:r>
        <w:t>% от годовых бюджетных назначений (</w:t>
      </w:r>
      <w:r w:rsidR="007C75F4">
        <w:t>83392,1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0502 «Коммунальное хозяйство» - </w:t>
      </w:r>
      <w:r w:rsidR="00496D96">
        <w:t>6537,3</w:t>
      </w:r>
      <w:r>
        <w:t xml:space="preserve"> тыс. рублей, или </w:t>
      </w:r>
      <w:r w:rsidR="00496D96">
        <w:t>76,27</w:t>
      </w:r>
      <w:r>
        <w:t>% от годовых бюджетных назначений (</w:t>
      </w:r>
      <w:r w:rsidR="00496D96">
        <w:t>8570,6</w:t>
      </w:r>
      <w:r w:rsidR="00446D09">
        <w:t xml:space="preserve"> </w:t>
      </w:r>
      <w:r>
        <w:t>тыс. рублей);</w:t>
      </w:r>
    </w:p>
    <w:p w:rsidR="0032504F" w:rsidRDefault="0032504F">
      <w:pPr>
        <w:jc w:val="both"/>
      </w:pPr>
      <w:r>
        <w:tab/>
        <w:t xml:space="preserve">0503 «Благоустройство» - </w:t>
      </w:r>
      <w:r w:rsidR="00C56774">
        <w:t>20327,6</w:t>
      </w:r>
      <w:r>
        <w:t xml:space="preserve"> тыс. рублей, или </w:t>
      </w:r>
      <w:r w:rsidR="00C56774">
        <w:t>68,35</w:t>
      </w:r>
      <w:r>
        <w:t>% от годовых бюджетных назначений (</w:t>
      </w:r>
      <w:r w:rsidR="00C56774">
        <w:t>29736,6</w:t>
      </w:r>
      <w:r>
        <w:t xml:space="preserve"> тыс. рублей).</w:t>
      </w:r>
    </w:p>
    <w:p w:rsidR="001E06C7" w:rsidRDefault="001E06C7">
      <w:pPr>
        <w:jc w:val="both"/>
        <w:rPr>
          <w:b/>
          <w:bCs/>
        </w:rPr>
      </w:pPr>
      <w:r>
        <w:tab/>
        <w:t>0505 «Другие вопросы в области жилищно-коммунального хозяйства» - исполнено 0, при годовых бюджетных назначениях (226,0 тыс. рублей).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  <w:r>
        <w:tab/>
      </w:r>
      <w:r w:rsidRPr="003A63E7">
        <w:t>Рас</w:t>
      </w:r>
      <w:r w:rsidRPr="00802C4F">
        <w:t>ходы</w:t>
      </w:r>
      <w:r>
        <w:t xml:space="preserve"> по разделу </w:t>
      </w:r>
      <w:r>
        <w:rPr>
          <w:b/>
          <w:bCs/>
        </w:rPr>
        <w:t xml:space="preserve">0700 «Образование» </w:t>
      </w:r>
      <w:r>
        <w:t xml:space="preserve">за </w:t>
      </w:r>
      <w:r w:rsidR="00324CC4">
        <w:t>девять месяцев</w:t>
      </w:r>
      <w:r>
        <w:t xml:space="preserve"> 201</w:t>
      </w:r>
      <w:r w:rsidR="004F097D">
        <w:t>4</w:t>
      </w:r>
      <w:r>
        <w:t xml:space="preserve"> года профинансированы в размере </w:t>
      </w:r>
      <w:r w:rsidR="00734B4E">
        <w:t>182508,9</w:t>
      </w:r>
      <w:r>
        <w:t xml:space="preserve"> тыс. рублей, или на </w:t>
      </w:r>
      <w:r w:rsidR="00734B4E">
        <w:t>63,42</w:t>
      </w:r>
      <w:r>
        <w:t>% к годовым бюджетным назначениям (</w:t>
      </w:r>
      <w:r w:rsidR="00734B4E">
        <w:t>287761,9</w:t>
      </w:r>
      <w:r>
        <w:t xml:space="preserve"> тыс. рублей).</w:t>
      </w:r>
    </w:p>
    <w:p w:rsidR="0032504F" w:rsidRDefault="0032504F">
      <w:pPr>
        <w:jc w:val="both"/>
      </w:pPr>
      <w:r>
        <w:tab/>
        <w:t xml:space="preserve">Значительную часть расходов по данному разделу составили расходы по подразделу 0702 «Общее образование» - </w:t>
      </w:r>
      <w:r w:rsidR="003A63E7">
        <w:t>52,95</w:t>
      </w:r>
      <w:r>
        <w:t xml:space="preserve">%, по подразделу 0701 «Дошкольное образование» - </w:t>
      </w:r>
      <w:r w:rsidR="00C9466F">
        <w:t>39,</w:t>
      </w:r>
      <w:r w:rsidR="003A63E7">
        <w:t>85</w:t>
      </w:r>
      <w:r>
        <w:t>%. Расходы по подразделам сложились следующим образом:</w:t>
      </w:r>
    </w:p>
    <w:p w:rsidR="0032504F" w:rsidRDefault="0032504F">
      <w:pPr>
        <w:jc w:val="both"/>
      </w:pPr>
      <w:r>
        <w:tab/>
        <w:t xml:space="preserve">0701 «Дошкольное образование» - </w:t>
      </w:r>
      <w:r w:rsidR="003A63E7">
        <w:t>72731,6</w:t>
      </w:r>
      <w:r>
        <w:t xml:space="preserve"> тыс. рублей, или </w:t>
      </w:r>
      <w:r w:rsidR="003A63E7">
        <w:t>62,24</w:t>
      </w:r>
      <w:r>
        <w:t>% от годовых бюджетных назначений (</w:t>
      </w:r>
      <w:r w:rsidR="003A63E7">
        <w:t>116854,2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0702 «Общее образование» - </w:t>
      </w:r>
      <w:r w:rsidR="00BF27A1">
        <w:t>96640,5</w:t>
      </w:r>
      <w:r>
        <w:t xml:space="preserve"> тыс. рублей, или </w:t>
      </w:r>
      <w:r w:rsidR="00BF27A1">
        <w:t>64,74</w:t>
      </w:r>
      <w:r>
        <w:t>% от годовых бюджетных назначений (</w:t>
      </w:r>
      <w:r w:rsidR="00BF27A1">
        <w:t>149274,0</w:t>
      </w:r>
      <w:r>
        <w:t xml:space="preserve"> тыс. рублей);</w:t>
      </w:r>
    </w:p>
    <w:p w:rsidR="003741C3" w:rsidRDefault="003741C3">
      <w:pPr>
        <w:jc w:val="both"/>
      </w:pPr>
      <w:r>
        <w:tab/>
        <w:t>0705 «Профессиональная подготовка, переподготовка и повышение квалификации» - исполнение равно 0, при годовых бюджетных назначениях в сумме 30,3 тыс. рублей;</w:t>
      </w:r>
    </w:p>
    <w:p w:rsidR="0032504F" w:rsidRDefault="0032504F">
      <w:pPr>
        <w:jc w:val="both"/>
      </w:pPr>
      <w:r>
        <w:tab/>
        <w:t xml:space="preserve">0707 «Молодежная политика и оздоровление детей» - </w:t>
      </w:r>
      <w:r w:rsidR="00EB7F23">
        <w:t>2748,5</w:t>
      </w:r>
      <w:r>
        <w:t xml:space="preserve"> тыс. рублей, или </w:t>
      </w:r>
      <w:r w:rsidR="00EB7F23">
        <w:t>57,38</w:t>
      </w:r>
      <w:r>
        <w:t>% от годовых бюджетных назначений (</w:t>
      </w:r>
      <w:r w:rsidR="00EB7F23">
        <w:t>4789,2</w:t>
      </w:r>
      <w:r>
        <w:t xml:space="preserve"> тыс. рублей);</w:t>
      </w:r>
    </w:p>
    <w:p w:rsidR="0032504F" w:rsidRDefault="0032504F">
      <w:pPr>
        <w:jc w:val="both"/>
        <w:rPr>
          <w:b/>
          <w:bCs/>
        </w:rPr>
      </w:pPr>
      <w:r>
        <w:tab/>
        <w:t xml:space="preserve">0709 «Другие вопросы в области образования» - </w:t>
      </w:r>
      <w:r w:rsidR="00BA4086">
        <w:t>10388,4</w:t>
      </w:r>
      <w:r>
        <w:t xml:space="preserve"> тыс. рублей, или </w:t>
      </w:r>
      <w:r w:rsidR="00BA4086">
        <w:t>61,78</w:t>
      </w:r>
      <w:r>
        <w:t>% от годовых бюджетных назначений (</w:t>
      </w:r>
      <w:r w:rsidR="008A11BD">
        <w:t>16814,2</w:t>
      </w:r>
      <w:r>
        <w:t xml:space="preserve"> тыс. рублей).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  <w:r>
        <w:tab/>
      </w:r>
      <w:r w:rsidRPr="00C3093E">
        <w:t>По</w:t>
      </w:r>
      <w:r>
        <w:t xml:space="preserve"> разделу </w:t>
      </w:r>
      <w:r>
        <w:rPr>
          <w:b/>
          <w:bCs/>
        </w:rPr>
        <w:t xml:space="preserve">0800 «Культура и кинематография» </w:t>
      </w:r>
      <w:r>
        <w:t xml:space="preserve">расходы исполнены в размере </w:t>
      </w:r>
      <w:r w:rsidR="00297989">
        <w:t>21588,1</w:t>
      </w:r>
      <w:r>
        <w:t xml:space="preserve"> тыс. рублей, что составляет </w:t>
      </w:r>
      <w:r w:rsidR="00297989">
        <w:t>67,9</w:t>
      </w:r>
      <w:r>
        <w:t xml:space="preserve">% от годовых бюджетных назначений в размере </w:t>
      </w:r>
      <w:r w:rsidR="00297989">
        <w:t>31790,5</w:t>
      </w:r>
      <w:r>
        <w:t xml:space="preserve"> тыс. рублей. Расходы по подразделам распределились следующим образом:</w:t>
      </w:r>
    </w:p>
    <w:p w:rsidR="0032504F" w:rsidRDefault="0032504F">
      <w:pPr>
        <w:jc w:val="both"/>
      </w:pPr>
      <w:r>
        <w:tab/>
        <w:t xml:space="preserve">0801 «Культура» - </w:t>
      </w:r>
      <w:r w:rsidR="00DF3FD7">
        <w:t>19718,0</w:t>
      </w:r>
      <w:r>
        <w:t xml:space="preserve"> тыс. рублей, или </w:t>
      </w:r>
      <w:r w:rsidR="00DF3FD7">
        <w:t>67,19</w:t>
      </w:r>
      <w:r>
        <w:t>% от годовых назначений (</w:t>
      </w:r>
      <w:r w:rsidR="00DF3FD7">
        <w:t>29344,7</w:t>
      </w:r>
      <w:r>
        <w:t xml:space="preserve"> тыс. рублей);</w:t>
      </w:r>
    </w:p>
    <w:p w:rsidR="0032504F" w:rsidRDefault="0032504F" w:rsidP="00CB4466">
      <w:pPr>
        <w:jc w:val="both"/>
      </w:pPr>
      <w:r>
        <w:tab/>
        <w:t xml:space="preserve">0804 «Другие вопросы в области культуры, кинематографии» - </w:t>
      </w:r>
      <w:r w:rsidR="00DF3FD7">
        <w:t>1870,0</w:t>
      </w:r>
      <w:r>
        <w:t xml:space="preserve"> тыс. рублей, или </w:t>
      </w:r>
      <w:r w:rsidR="00DF3FD7">
        <w:t>76,45</w:t>
      </w:r>
      <w:r>
        <w:t>%  от годовых бюджетных назначений (</w:t>
      </w:r>
      <w:r w:rsidR="00D44530">
        <w:t>2445,8</w:t>
      </w:r>
      <w:r w:rsidR="00CB4466">
        <w:t xml:space="preserve"> тыс. рублей).</w:t>
      </w:r>
    </w:p>
    <w:p w:rsidR="0032504F" w:rsidRDefault="0032504F">
      <w:pPr>
        <w:jc w:val="both"/>
      </w:pPr>
    </w:p>
    <w:p w:rsidR="0032504F" w:rsidRDefault="0032504F">
      <w:pPr>
        <w:jc w:val="both"/>
      </w:pPr>
      <w:r>
        <w:tab/>
      </w:r>
      <w:r w:rsidRPr="00D935B6">
        <w:t>По разделу</w:t>
      </w:r>
      <w:r>
        <w:t xml:space="preserve"> </w:t>
      </w:r>
      <w:r>
        <w:rPr>
          <w:b/>
          <w:bCs/>
        </w:rPr>
        <w:t xml:space="preserve">1000 «Социальная политика» </w:t>
      </w:r>
      <w:r>
        <w:t xml:space="preserve">расходы за </w:t>
      </w:r>
      <w:r w:rsidR="005F7F2C">
        <w:t>девять месяцев</w:t>
      </w:r>
      <w:r>
        <w:t xml:space="preserve"> 201</w:t>
      </w:r>
      <w:r w:rsidR="00313371">
        <w:t>4</w:t>
      </w:r>
      <w:r>
        <w:t xml:space="preserve"> года были профинансированы в размере </w:t>
      </w:r>
      <w:r w:rsidR="005F7F2C">
        <w:t>6713,9</w:t>
      </w:r>
      <w:r w:rsidR="00D935B6">
        <w:t xml:space="preserve"> </w:t>
      </w:r>
      <w:r>
        <w:t xml:space="preserve">тыс. рублей, или </w:t>
      </w:r>
      <w:r w:rsidR="005F7F2C">
        <w:t>35,67</w:t>
      </w:r>
      <w:r>
        <w:t>% к годовым бюджетным назначениям (</w:t>
      </w:r>
      <w:r w:rsidR="005F7F2C">
        <w:t>18819,9</w:t>
      </w:r>
      <w:r>
        <w:t xml:space="preserve"> тыс. рублей). Основную долю расходов по данному разделу составили расходы по подразделу 1003 «Социальное обеспечение населения» - </w:t>
      </w:r>
      <w:r w:rsidR="000B61A4">
        <w:t>62,77</w:t>
      </w:r>
      <w:r>
        <w:t>%. Расходы по подразделам распределились следующим образом:</w:t>
      </w:r>
    </w:p>
    <w:p w:rsidR="0032504F" w:rsidRDefault="0032504F">
      <w:pPr>
        <w:jc w:val="both"/>
      </w:pPr>
      <w:r>
        <w:tab/>
        <w:t xml:space="preserve">1001 «Пенсионное обеспечение» - </w:t>
      </w:r>
      <w:r w:rsidR="000B61A4">
        <w:t>482,3</w:t>
      </w:r>
      <w:r>
        <w:t xml:space="preserve"> тыс. рублей, или </w:t>
      </w:r>
      <w:r w:rsidR="000B61A4">
        <w:t>77,51</w:t>
      </w:r>
      <w:r>
        <w:t xml:space="preserve">% от годовых назначений, составляющих </w:t>
      </w:r>
      <w:r w:rsidR="00CD6238">
        <w:t>622,2</w:t>
      </w:r>
      <w:r>
        <w:t xml:space="preserve"> тыс. рублей;</w:t>
      </w:r>
    </w:p>
    <w:p w:rsidR="0032504F" w:rsidRDefault="0032504F">
      <w:pPr>
        <w:jc w:val="both"/>
      </w:pPr>
      <w:r>
        <w:tab/>
        <w:t xml:space="preserve">1003 «Социальное обеспечение населения» - </w:t>
      </w:r>
      <w:r w:rsidR="004B4F11">
        <w:t>4214,5</w:t>
      </w:r>
      <w:r>
        <w:t xml:space="preserve"> тыс. рублей, или </w:t>
      </w:r>
      <w:r w:rsidR="004B4F11">
        <w:t>31,76</w:t>
      </w:r>
      <w:r>
        <w:t>% от годовых бюджетных назначений (</w:t>
      </w:r>
      <w:r w:rsidR="00FD5D7E">
        <w:t>13267,6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1004 «Охрана семьи и детства» - </w:t>
      </w:r>
      <w:r w:rsidR="00ED37B4">
        <w:t>исполнен</w:t>
      </w:r>
      <w:r w:rsidR="00AE1E03">
        <w:t xml:space="preserve">о </w:t>
      </w:r>
      <w:r w:rsidR="00E27909">
        <w:t>1780,8</w:t>
      </w:r>
      <w:r w:rsidR="00AE1E03">
        <w:t xml:space="preserve"> тыс. рублей или </w:t>
      </w:r>
      <w:r w:rsidR="00E27909">
        <w:t>38,56</w:t>
      </w:r>
      <w:r w:rsidR="00AE1E03">
        <w:t xml:space="preserve">% от </w:t>
      </w:r>
      <w:r>
        <w:t xml:space="preserve"> годовы</w:t>
      </w:r>
      <w:r w:rsidR="00AE1E03">
        <w:t>х</w:t>
      </w:r>
      <w:r>
        <w:t xml:space="preserve"> </w:t>
      </w:r>
      <w:r w:rsidR="00AE1E03">
        <w:t xml:space="preserve">бюджетных </w:t>
      </w:r>
      <w:r>
        <w:t>назначени</w:t>
      </w:r>
      <w:r w:rsidR="00AE1E03">
        <w:t>й</w:t>
      </w:r>
      <w:r>
        <w:t xml:space="preserve"> </w:t>
      </w:r>
      <w:r w:rsidR="00AE1E03">
        <w:t>(</w:t>
      </w:r>
      <w:r w:rsidR="00E27909">
        <w:t>4618,1</w:t>
      </w:r>
      <w:r>
        <w:t xml:space="preserve"> тыс. рублей</w:t>
      </w:r>
      <w:r w:rsidR="00AE1E03">
        <w:t>)</w:t>
      </w:r>
      <w:r>
        <w:t>;</w:t>
      </w:r>
    </w:p>
    <w:p w:rsidR="0032504F" w:rsidRDefault="0032504F">
      <w:pPr>
        <w:jc w:val="both"/>
      </w:pPr>
      <w:r>
        <w:tab/>
        <w:t xml:space="preserve">1006 «Другие вопросы в области социальной политики» - </w:t>
      </w:r>
      <w:r w:rsidR="00A72BDF">
        <w:t>236,3</w:t>
      </w:r>
      <w:r>
        <w:t xml:space="preserve"> тыс. рублей, или </w:t>
      </w:r>
      <w:r w:rsidR="00A72BDF">
        <w:t>75,73</w:t>
      </w:r>
      <w:r>
        <w:t xml:space="preserve">% от годовых назначений, составляющих </w:t>
      </w:r>
      <w:r w:rsidR="003E3907">
        <w:t>3</w:t>
      </w:r>
      <w:r w:rsidR="00EE405F">
        <w:t>1</w:t>
      </w:r>
      <w:r w:rsidR="003E3907">
        <w:t>2,0</w:t>
      </w:r>
      <w:r>
        <w:t xml:space="preserve"> тыс. рублей.</w:t>
      </w:r>
    </w:p>
    <w:p w:rsidR="0032504F" w:rsidRDefault="0032504F">
      <w:pPr>
        <w:jc w:val="both"/>
      </w:pPr>
    </w:p>
    <w:p w:rsidR="0032504F" w:rsidRDefault="0032504F">
      <w:pPr>
        <w:jc w:val="both"/>
      </w:pPr>
      <w:r>
        <w:tab/>
        <w:t xml:space="preserve">Расходы по разделу </w:t>
      </w:r>
      <w:r>
        <w:rPr>
          <w:b/>
          <w:bCs/>
        </w:rPr>
        <w:t>1100 «Физическая культура и спорт»</w:t>
      </w:r>
      <w:r>
        <w:t xml:space="preserve"> были исполнены в размере </w:t>
      </w:r>
      <w:r w:rsidR="003054A3">
        <w:t>8018,3</w:t>
      </w:r>
      <w:r>
        <w:t xml:space="preserve"> тыс. рублей, что составляет </w:t>
      </w:r>
      <w:r w:rsidR="003054A3">
        <w:t>74,33</w:t>
      </w:r>
      <w:r>
        <w:t>% к годовым бюджетным назначениям, предусмотренным на 201</w:t>
      </w:r>
      <w:r w:rsidR="00E075DF">
        <w:t>4</w:t>
      </w:r>
      <w:r>
        <w:t xml:space="preserve"> год в размере </w:t>
      </w:r>
      <w:r w:rsidR="003054A3">
        <w:t>10786,6</w:t>
      </w:r>
      <w:r>
        <w:t xml:space="preserve"> тыс. рублей.  Основную долю расходов по данному разделу составили расходы по подразделу 1101 «Физическая культура» - </w:t>
      </w:r>
      <w:r w:rsidR="0073078D">
        <w:t>58</w:t>
      </w:r>
      <w:r w:rsidR="00BD0103">
        <w:t>,</w:t>
      </w:r>
      <w:r w:rsidR="003054A3">
        <w:t>89</w:t>
      </w:r>
      <w:r>
        <w:t>%. Расходы по подразделам распределились следующим образом:</w:t>
      </w:r>
    </w:p>
    <w:p w:rsidR="0032504F" w:rsidRDefault="0032504F">
      <w:pPr>
        <w:jc w:val="both"/>
      </w:pPr>
      <w:r>
        <w:tab/>
        <w:t xml:space="preserve">1101 «Физическая культура» - </w:t>
      </w:r>
      <w:r w:rsidR="003054A3">
        <w:t>4722,5</w:t>
      </w:r>
      <w:r>
        <w:t xml:space="preserve"> тыс. рублей, или </w:t>
      </w:r>
      <w:r w:rsidR="003054A3">
        <w:t>66,68</w:t>
      </w:r>
      <w:r>
        <w:t>% от годовых бюджетных назначений (</w:t>
      </w:r>
      <w:r w:rsidR="003054A3">
        <w:t>7081,6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1102 «Массовый спорт» - </w:t>
      </w:r>
      <w:r w:rsidR="00791FA8">
        <w:t>877,2</w:t>
      </w:r>
      <w:r>
        <w:t xml:space="preserve"> тыс. рублей, или </w:t>
      </w:r>
      <w:r w:rsidR="00791FA8">
        <w:t>98,56</w:t>
      </w:r>
      <w:r>
        <w:t>% от годовых бюджетных назначений (</w:t>
      </w:r>
      <w:r w:rsidR="007F68B0">
        <w:t>8</w:t>
      </w:r>
      <w:r w:rsidR="00791FA8">
        <w:t>9</w:t>
      </w:r>
      <w:r w:rsidR="00EB07D9">
        <w:t>0</w:t>
      </w:r>
      <w:r w:rsidR="007F68B0">
        <w:t>,0</w:t>
      </w:r>
      <w:r>
        <w:t xml:space="preserve"> тыс. рублей);</w:t>
      </w:r>
    </w:p>
    <w:p w:rsidR="0032504F" w:rsidRDefault="0032504F">
      <w:pPr>
        <w:jc w:val="both"/>
      </w:pPr>
      <w:r>
        <w:tab/>
        <w:t xml:space="preserve">1105 «Другие вопросы в области физической культуры  и спорта» - </w:t>
      </w:r>
      <w:r w:rsidR="00995483">
        <w:t>2418,5</w:t>
      </w:r>
      <w:r>
        <w:t xml:space="preserve"> тыс. рублей, или </w:t>
      </w:r>
      <w:r w:rsidR="00995483">
        <w:t>85,91</w:t>
      </w:r>
      <w:r>
        <w:t xml:space="preserve">% от годовых бюджетных назначений, составляющих </w:t>
      </w:r>
      <w:r w:rsidR="00EB07D9">
        <w:t>2815,0</w:t>
      </w:r>
      <w:r>
        <w:t xml:space="preserve"> тыс. рублей.</w:t>
      </w:r>
    </w:p>
    <w:p w:rsidR="0032504F" w:rsidRDefault="0032504F">
      <w:pPr>
        <w:jc w:val="both"/>
      </w:pPr>
    </w:p>
    <w:p w:rsidR="0032504F" w:rsidRDefault="0032504F">
      <w:pPr>
        <w:jc w:val="both"/>
      </w:pPr>
      <w:r>
        <w:tab/>
      </w:r>
      <w:r w:rsidRPr="0093303E">
        <w:t>По</w:t>
      </w:r>
      <w:r>
        <w:t xml:space="preserve"> разделу </w:t>
      </w:r>
      <w:r>
        <w:rPr>
          <w:b/>
          <w:bCs/>
        </w:rPr>
        <w:t>1200 «Средства массовой информации»</w:t>
      </w:r>
      <w:r>
        <w:t xml:space="preserve"> расходы за </w:t>
      </w:r>
      <w:r w:rsidR="00242338">
        <w:t>девять месяцев</w:t>
      </w:r>
      <w:r>
        <w:t xml:space="preserve"> 201</w:t>
      </w:r>
      <w:r w:rsidR="000A036C">
        <w:t>4</w:t>
      </w:r>
      <w:r>
        <w:t xml:space="preserve"> года были профинансированы в размере </w:t>
      </w:r>
      <w:r w:rsidR="00242338">
        <w:t>977,6</w:t>
      </w:r>
      <w:r>
        <w:t xml:space="preserve"> тыс. рублей, или на </w:t>
      </w:r>
      <w:r w:rsidR="00242338">
        <w:t>81,33</w:t>
      </w:r>
      <w:r>
        <w:t>% к годовым бюджетным назначениям (</w:t>
      </w:r>
      <w:r w:rsidR="00280E9A">
        <w:t>1201,9</w:t>
      </w:r>
      <w:r>
        <w:t xml:space="preserve"> тыс. рублей). По данному разделу расходы были заложены и финансируются только по одному подразделу 1201 «Телевидение и радиовещание».</w:t>
      </w:r>
    </w:p>
    <w:p w:rsidR="0032504F" w:rsidRDefault="0032504F">
      <w:pPr>
        <w:jc w:val="both"/>
      </w:pPr>
    </w:p>
    <w:p w:rsidR="0032504F" w:rsidRDefault="0032504F">
      <w:pPr>
        <w:jc w:val="both"/>
      </w:pPr>
      <w:r>
        <w:tab/>
      </w:r>
      <w:r w:rsidRPr="00DC7A03">
        <w:t>По разделу</w:t>
      </w:r>
      <w:r>
        <w:t xml:space="preserve"> </w:t>
      </w:r>
      <w:r>
        <w:rPr>
          <w:b/>
          <w:bCs/>
        </w:rPr>
        <w:t>1300 «Обслуживание государственного и муниципального долга»</w:t>
      </w:r>
      <w:r>
        <w:t xml:space="preserve"> расходы за </w:t>
      </w:r>
      <w:r w:rsidR="00FA2C58">
        <w:t>девять месяцев</w:t>
      </w:r>
      <w:r>
        <w:t xml:space="preserve"> 201</w:t>
      </w:r>
      <w:r w:rsidR="0093303E">
        <w:t>4</w:t>
      </w:r>
      <w:r>
        <w:t xml:space="preserve"> года исполнены не были. Бюджетные годовые назначения по данному разделу, подразделу 1301 «Обслуживание внутреннего и муниципального долга» составляют 200,0 тыс. рублей.</w:t>
      </w:r>
    </w:p>
    <w:p w:rsidR="009E39B1" w:rsidRDefault="009E39B1">
      <w:pPr>
        <w:jc w:val="both"/>
      </w:pPr>
    </w:p>
    <w:p w:rsidR="0032504F" w:rsidRDefault="0032504F">
      <w:pPr>
        <w:jc w:val="both"/>
      </w:pPr>
      <w:r>
        <w:tab/>
      </w:r>
      <w:r w:rsidRPr="00D553AE">
        <w:t>По</w:t>
      </w:r>
      <w:r>
        <w:t xml:space="preserve"> </w:t>
      </w:r>
      <w:r w:rsidR="00E17242">
        <w:t>девяти</w:t>
      </w:r>
      <w:r>
        <w:t xml:space="preserve"> разделам из </w:t>
      </w:r>
      <w:r w:rsidR="00560287">
        <w:t>десяти</w:t>
      </w:r>
      <w:r>
        <w:t xml:space="preserve"> </w:t>
      </w:r>
      <w:r w:rsidRPr="00CC2D08">
        <w:rPr>
          <w:b/>
        </w:rPr>
        <w:t xml:space="preserve">исполнение составило менее </w:t>
      </w:r>
      <w:r w:rsidR="00E17242" w:rsidRPr="00CC2D08">
        <w:rPr>
          <w:b/>
        </w:rPr>
        <w:t>75</w:t>
      </w:r>
      <w:r w:rsidRPr="00CC2D08">
        <w:rPr>
          <w:b/>
        </w:rPr>
        <w:t>,0%</w:t>
      </w:r>
      <w:r>
        <w:t xml:space="preserve"> от годовых бюджетных назначений.</w:t>
      </w:r>
    </w:p>
    <w:p w:rsidR="000604DE" w:rsidRDefault="0032504F">
      <w:pPr>
        <w:jc w:val="both"/>
      </w:pPr>
      <w:r>
        <w:tab/>
        <w:t xml:space="preserve">Самый низкий уровень исполнения отмечен </w:t>
      </w:r>
      <w:r w:rsidR="00560287">
        <w:t>по разделу 1000 «Социальная политика»</w:t>
      </w:r>
      <w:r w:rsidR="008A4D97">
        <w:t xml:space="preserve"> </w:t>
      </w:r>
      <w:r w:rsidR="009C0D92">
        <w:rPr>
          <w:b/>
        </w:rPr>
        <w:t>35,67</w:t>
      </w:r>
      <w:r w:rsidR="00560287" w:rsidRPr="00560287">
        <w:rPr>
          <w:b/>
        </w:rPr>
        <w:t>%</w:t>
      </w:r>
      <w:r w:rsidR="00560287">
        <w:t xml:space="preserve">, </w:t>
      </w:r>
      <w:r>
        <w:t>по разделу 0</w:t>
      </w:r>
      <w:r w:rsidR="008A4D97">
        <w:t>5</w:t>
      </w:r>
      <w:r>
        <w:t>00 «</w:t>
      </w:r>
      <w:r w:rsidR="008A4D97">
        <w:t>Жилищно-коммунальное хозяйство</w:t>
      </w:r>
      <w:r>
        <w:t xml:space="preserve">» </w:t>
      </w:r>
      <w:r w:rsidR="000604DE">
        <w:rPr>
          <w:b/>
        </w:rPr>
        <w:t>23,98</w:t>
      </w:r>
      <w:r w:rsidRPr="00560287">
        <w:rPr>
          <w:b/>
        </w:rPr>
        <w:t>%</w:t>
      </w:r>
      <w:r>
        <w:t xml:space="preserve">, по разделу 1300 «Обслуживание государственного и муниципального долга» исполнение за </w:t>
      </w:r>
      <w:r w:rsidR="00B539C1">
        <w:t>первое полугодие</w:t>
      </w:r>
      <w:r>
        <w:t xml:space="preserve"> 201</w:t>
      </w:r>
      <w:r w:rsidR="003778E7">
        <w:t>4</w:t>
      </w:r>
      <w:r>
        <w:t xml:space="preserve"> года равно </w:t>
      </w:r>
      <w:r w:rsidRPr="00AA7E21">
        <w:rPr>
          <w:b/>
        </w:rPr>
        <w:t>нулю</w:t>
      </w:r>
      <w:r>
        <w:t xml:space="preserve">. Наибольший уровень </w:t>
      </w:r>
      <w:r w:rsidR="00AA7E21">
        <w:t>исполнения,</w:t>
      </w:r>
      <w:r>
        <w:t xml:space="preserve"> достигнут по разделу </w:t>
      </w:r>
      <w:r w:rsidR="003778E7" w:rsidRPr="003778E7">
        <w:t>1200 «Средств</w:t>
      </w:r>
      <w:r w:rsidR="003778E7">
        <w:t xml:space="preserve">а массовой информации» - </w:t>
      </w:r>
      <w:r w:rsidR="000604DE">
        <w:rPr>
          <w:b/>
        </w:rPr>
        <w:t>81,33%.</w:t>
      </w:r>
    </w:p>
    <w:p w:rsidR="0032504F" w:rsidRDefault="0032504F">
      <w:pPr>
        <w:jc w:val="both"/>
      </w:pPr>
      <w:r>
        <w:tab/>
        <w:t>Контрольно-счетная комиссия обращает внимание на качество планирования бюджетных расходов:</w:t>
      </w:r>
    </w:p>
    <w:p w:rsidR="00AA7E21" w:rsidRPr="002104D1" w:rsidRDefault="0032504F" w:rsidP="004D2D5D">
      <w:pPr>
        <w:numPr>
          <w:ilvl w:val="0"/>
          <w:numId w:val="7"/>
        </w:numPr>
        <w:jc w:val="both"/>
        <w:rPr>
          <w:b/>
          <w:bCs/>
        </w:rPr>
      </w:pPr>
      <w:r>
        <w:t xml:space="preserve">по следующим видам расходов функциональной классификации расходов бюджета городского округа Вичуга исполнение бюджетных назначений </w:t>
      </w:r>
      <w:r w:rsidRPr="004608FF">
        <w:rPr>
          <w:b/>
        </w:rPr>
        <w:t xml:space="preserve">не превысило </w:t>
      </w:r>
      <w:r w:rsidR="004608FF" w:rsidRPr="004608FF">
        <w:rPr>
          <w:b/>
        </w:rPr>
        <w:t>75</w:t>
      </w:r>
      <w:r w:rsidRPr="004608FF">
        <w:rPr>
          <w:b/>
        </w:rPr>
        <w:t>,0 процентов</w:t>
      </w:r>
      <w:r>
        <w:t xml:space="preserve">: </w:t>
      </w:r>
      <w:r w:rsidR="00BD5B33">
        <w:t>физическая культура и спорт – 74,33%,</w:t>
      </w:r>
      <w:r w:rsidR="004D2D5D" w:rsidRPr="004D2D5D">
        <w:t xml:space="preserve"> национальная экономика – </w:t>
      </w:r>
      <w:r w:rsidR="004D2D5D">
        <w:t xml:space="preserve">73,15%, </w:t>
      </w:r>
      <w:r w:rsidR="003E4751" w:rsidRPr="003E4751">
        <w:t xml:space="preserve">национальная безопасность — </w:t>
      </w:r>
      <w:r w:rsidR="004D2D5D">
        <w:t>71,09</w:t>
      </w:r>
      <w:r w:rsidR="003E4751" w:rsidRPr="003E4751">
        <w:t>%,</w:t>
      </w:r>
      <w:r w:rsidR="004D2D5D" w:rsidRPr="004D2D5D">
        <w:t xml:space="preserve">  </w:t>
      </w:r>
      <w:r w:rsidR="00AA7E21">
        <w:t>общегосударственные вопросы</w:t>
      </w:r>
      <w:r>
        <w:t xml:space="preserve"> — </w:t>
      </w:r>
      <w:r w:rsidR="004D2D5D">
        <w:t>68,05</w:t>
      </w:r>
      <w:r>
        <w:t xml:space="preserve">%, </w:t>
      </w:r>
      <w:r w:rsidR="003E4751" w:rsidRPr="003E4751">
        <w:t xml:space="preserve">культура и кинематография — </w:t>
      </w:r>
      <w:r w:rsidR="00B61054">
        <w:t>67,9</w:t>
      </w:r>
      <w:r w:rsidR="003E4751" w:rsidRPr="003E4751">
        <w:t>%,</w:t>
      </w:r>
      <w:r w:rsidR="004D2D5D">
        <w:t xml:space="preserve"> </w:t>
      </w:r>
      <w:r w:rsidR="004D2D5D" w:rsidRPr="004D2D5D">
        <w:t xml:space="preserve">образование — </w:t>
      </w:r>
      <w:r w:rsidR="00B61054">
        <w:t>63,42</w:t>
      </w:r>
      <w:r w:rsidR="004D2D5D" w:rsidRPr="004D2D5D">
        <w:t xml:space="preserve">%,   </w:t>
      </w:r>
      <w:r w:rsidR="003E4751" w:rsidRPr="003E4751">
        <w:t xml:space="preserve"> </w:t>
      </w:r>
      <w:r w:rsidR="00223B94" w:rsidRPr="00223B94">
        <w:t xml:space="preserve">социальная политика — </w:t>
      </w:r>
      <w:r w:rsidR="005A77A2">
        <w:t>35,67</w:t>
      </w:r>
      <w:r w:rsidR="00223B94" w:rsidRPr="00223B94">
        <w:t>%</w:t>
      </w:r>
      <w:r w:rsidR="00223B94">
        <w:t xml:space="preserve">, </w:t>
      </w:r>
      <w:r w:rsidR="00927D9E">
        <w:t xml:space="preserve">жилищно-коммунальное хозяйство  - </w:t>
      </w:r>
      <w:r w:rsidR="005A77A2">
        <w:t>23,98</w:t>
      </w:r>
      <w:r w:rsidR="00927D9E">
        <w:t xml:space="preserve">%, </w:t>
      </w:r>
      <w:r>
        <w:t>обслуживание государственного и муниципального долга исполнение составило 0%.</w:t>
      </w:r>
    </w:p>
    <w:p w:rsidR="002104D1" w:rsidRDefault="002104D1" w:rsidP="002104D1">
      <w:pPr>
        <w:jc w:val="both"/>
      </w:pPr>
    </w:p>
    <w:p w:rsidR="002104D1" w:rsidRDefault="002104D1" w:rsidP="002104D1">
      <w:pPr>
        <w:jc w:val="both"/>
      </w:pPr>
    </w:p>
    <w:p w:rsidR="002104D1" w:rsidRPr="002104D1" w:rsidRDefault="002104D1" w:rsidP="001B6A97">
      <w:pPr>
        <w:numPr>
          <w:ilvl w:val="2"/>
          <w:numId w:val="6"/>
        </w:num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104D1">
        <w:rPr>
          <w:rFonts w:eastAsia="Calibri"/>
          <w:b/>
          <w:lang w:eastAsia="en-US"/>
        </w:rPr>
        <w:t>Динамика основных показателей исполнения бюджета городского округа Вичуга по состоянию на 01</w:t>
      </w:r>
      <w:r>
        <w:rPr>
          <w:rFonts w:eastAsia="Calibri"/>
          <w:b/>
          <w:lang w:eastAsia="en-US"/>
        </w:rPr>
        <w:t xml:space="preserve"> </w:t>
      </w:r>
      <w:r w:rsidR="00A932B1">
        <w:rPr>
          <w:rFonts w:eastAsia="Calibri"/>
          <w:b/>
          <w:lang w:eastAsia="en-US"/>
        </w:rPr>
        <w:t>октября</w:t>
      </w:r>
      <w:r>
        <w:rPr>
          <w:rFonts w:eastAsia="Calibri"/>
          <w:b/>
          <w:lang w:eastAsia="en-US"/>
        </w:rPr>
        <w:t xml:space="preserve"> </w:t>
      </w:r>
      <w:r w:rsidRPr="002104D1">
        <w:rPr>
          <w:rFonts w:eastAsia="Calibri"/>
          <w:b/>
          <w:lang w:eastAsia="en-US"/>
        </w:rPr>
        <w:t xml:space="preserve"> за период 2012-2014 годов</w:t>
      </w:r>
    </w:p>
    <w:p w:rsidR="002104D1" w:rsidRPr="002104D1" w:rsidRDefault="002104D1" w:rsidP="002104D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2104D1">
        <w:rPr>
          <w:rFonts w:eastAsia="Calibri"/>
          <w:sz w:val="22"/>
          <w:szCs w:val="22"/>
          <w:lang w:eastAsia="en-US"/>
        </w:rPr>
        <w:t>Таблица №4 (в тыс. рублей)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2104D1" w:rsidRPr="00BA500D" w:rsidTr="00A66370">
        <w:trPr>
          <w:trHeight w:val="794"/>
        </w:trPr>
        <w:tc>
          <w:tcPr>
            <w:tcW w:w="1560" w:type="dxa"/>
            <w:vMerge w:val="restart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Основные показатели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04D1" w:rsidRPr="00BA500D" w:rsidRDefault="002104D1" w:rsidP="009D1A80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Исполнение бюджета за </w:t>
            </w:r>
            <w:r w:rsidR="009D1A80">
              <w:rPr>
                <w:rFonts w:eastAsia="Calibri"/>
                <w:sz w:val="17"/>
                <w:szCs w:val="17"/>
                <w:lang w:eastAsia="en-US"/>
              </w:rPr>
              <w:t>девять месяцев</w:t>
            </w: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 2012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104D1" w:rsidRPr="00BA500D" w:rsidRDefault="002104D1" w:rsidP="009D1A80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Исполнение бюджета за </w:t>
            </w:r>
            <w:r w:rsidR="009D1A80">
              <w:rPr>
                <w:rFonts w:eastAsia="Calibri"/>
                <w:sz w:val="17"/>
                <w:szCs w:val="17"/>
                <w:lang w:eastAsia="en-US"/>
              </w:rPr>
              <w:t>девять месяцев</w:t>
            </w: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 2013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04D1" w:rsidRPr="00BA500D" w:rsidRDefault="002104D1" w:rsidP="00E62095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Исполнение бюджета за </w:t>
            </w:r>
            <w:r w:rsidR="00E62095">
              <w:rPr>
                <w:rFonts w:eastAsia="Calibri"/>
                <w:sz w:val="17"/>
                <w:szCs w:val="17"/>
                <w:lang w:eastAsia="en-US"/>
              </w:rPr>
              <w:t>девять месяцев</w:t>
            </w: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 2014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 xml:space="preserve">Отклонение в 2014 году к 2012 году </w:t>
            </w:r>
          </w:p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+/-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Отклонение в 2014 году к 2013 году</w:t>
            </w:r>
          </w:p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+/-</w:t>
            </w:r>
          </w:p>
        </w:tc>
      </w:tr>
      <w:tr w:rsidR="00A66370" w:rsidRPr="00BA500D" w:rsidTr="00A66370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BA500D">
              <w:rPr>
                <w:rFonts w:eastAsia="Calibri"/>
                <w:sz w:val="17"/>
                <w:szCs w:val="17"/>
                <w:lang w:eastAsia="en-US"/>
              </w:rPr>
              <w:t>Факт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b/>
                <w:sz w:val="18"/>
                <w:szCs w:val="18"/>
                <w:lang w:eastAsia="en-US"/>
              </w:rPr>
              <w:t>Доходы всего: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461909,65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338559,73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583972,6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380589,3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504160,4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90973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344593,7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90973" w:rsidP="00505F3A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+42250,75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+6033,97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highlight w:val="darkGray"/>
                <w:lang w:eastAsia="en-US"/>
              </w:rPr>
            </w:pPr>
            <w:r w:rsidRPr="004B54C8">
              <w:rPr>
                <w:rFonts w:eastAsia="Calibri"/>
                <w:b/>
                <w:sz w:val="17"/>
                <w:szCs w:val="17"/>
                <w:highlight w:val="lightGray"/>
                <w:lang w:eastAsia="en-US"/>
              </w:rPr>
              <w:t>-79812,2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B54C8">
              <w:rPr>
                <w:rFonts w:eastAsia="Calibri"/>
                <w:b/>
                <w:sz w:val="16"/>
                <w:szCs w:val="16"/>
                <w:highlight w:val="lightGray"/>
                <w:lang w:eastAsia="en-US"/>
              </w:rPr>
              <w:t>-35995,6</w:t>
            </w:r>
          </w:p>
        </w:tc>
      </w:tr>
      <w:tr w:rsidR="00A66370" w:rsidRPr="00BA500D" w:rsidTr="00A66370">
        <w:trPr>
          <w:trHeight w:val="46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138967,9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90287,33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134296,5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96770,9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123511,3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92108,5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B54C8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-15456,6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+1821,17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B54C8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-10785,2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B54C8">
              <w:rPr>
                <w:rFonts w:eastAsia="Calibri"/>
                <w:sz w:val="16"/>
                <w:szCs w:val="16"/>
                <w:highlight w:val="lightGray"/>
                <w:lang w:eastAsia="en-US"/>
              </w:rPr>
              <w:t>-4662,4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322941,75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248272,4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449676,1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283818,4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380649,1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252485,2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+57707,35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+4212,8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-69027,0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8D4FC9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D1F16">
              <w:rPr>
                <w:rFonts w:eastAsia="Calibri"/>
                <w:sz w:val="16"/>
                <w:szCs w:val="16"/>
                <w:highlight w:val="lightGray"/>
                <w:lang w:eastAsia="en-US"/>
              </w:rPr>
              <w:t>-31333,2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b/>
                <w:sz w:val="18"/>
                <w:szCs w:val="18"/>
                <w:lang w:eastAsia="en-US"/>
              </w:rPr>
              <w:t>Расходы всего: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473982,76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313284,06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591926,7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291400,2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537442,6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8D4FC9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294384,0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8D4FC9" w:rsidP="00505F3A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+63459,84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b/>
                <w:sz w:val="17"/>
                <w:szCs w:val="17"/>
                <w:highlight w:val="lightGray"/>
                <w:lang w:eastAsia="en-US"/>
              </w:rPr>
              <w:t>-18900,06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b/>
                <w:sz w:val="17"/>
                <w:szCs w:val="17"/>
                <w:highlight w:val="lightGray"/>
                <w:lang w:eastAsia="en-US"/>
              </w:rPr>
              <w:t>-54484,1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b/>
                <w:sz w:val="16"/>
                <w:szCs w:val="16"/>
                <w:lang w:eastAsia="en-US"/>
              </w:rPr>
              <w:t>+2983,8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37179,4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24864,48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39828,9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27757,4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41946,2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28547,5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+4766,8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+3683,02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+2117,3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+790,1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Национальная безопасность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2089,2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1312,2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2341,0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1697,9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2449,2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1741,2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+360,0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+429,0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7417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+108,2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387417" w:rsidP="00205A09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+43,3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23496,22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13993,85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29009,5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26651,4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20561,1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15041,6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-2935,12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+1047,75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0E6A1F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-8448,4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0E6A1F" w:rsidP="00205A09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D1F16">
              <w:rPr>
                <w:rFonts w:eastAsia="Calibri"/>
                <w:sz w:val="16"/>
                <w:szCs w:val="16"/>
                <w:highlight w:val="lightGray"/>
                <w:lang w:eastAsia="en-US"/>
              </w:rPr>
              <w:t>-11609,8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73886,01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50653,41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200515,4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35032,9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121925,3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29246,9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+48039,29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-21406,51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6D4D64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4D1F16">
              <w:rPr>
                <w:rFonts w:eastAsia="Calibri"/>
                <w:sz w:val="17"/>
                <w:szCs w:val="17"/>
                <w:highlight w:val="lightGray"/>
                <w:lang w:eastAsia="en-US"/>
              </w:rPr>
              <w:t>-78590,1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6D4D64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D1F16">
              <w:rPr>
                <w:rFonts w:eastAsia="Calibri"/>
                <w:sz w:val="16"/>
                <w:szCs w:val="16"/>
                <w:highlight w:val="lightGray"/>
                <w:lang w:eastAsia="en-US"/>
              </w:rPr>
              <w:t>-5786,0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233487,92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153712,4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265583,8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168293,7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287761,9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9557CB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182508,9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7C7C55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+54273,98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7C7C55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+28796,5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7C7C55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+22178,1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7C7C55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+14215,2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26991,8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17536,79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28701,3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19079,0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31790,5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21588,1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+4798,7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+4051,31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+3089,2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+2509,1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50803,6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37587,22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4B54C8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4B54C8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384C71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66370" w:rsidRPr="00BA500D" w:rsidTr="00A66370">
        <w:trPr>
          <w:trHeight w:val="22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15214,71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5757,21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14858,5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4274,2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18819,9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6713,9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+3605,19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+956,69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+3961,4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+2439,7</w:t>
            </w:r>
          </w:p>
        </w:tc>
      </w:tr>
      <w:tr w:rsidR="00A66370" w:rsidRPr="00BA500D" w:rsidTr="00A66370">
        <w:trPr>
          <w:trHeight w:val="469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9673,8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7098,4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9902,0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7877,0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10786,6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8018,3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+1112,8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+919,9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+884,6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101860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+141,3</w:t>
            </w:r>
          </w:p>
        </w:tc>
      </w:tr>
      <w:tr w:rsidR="00A66370" w:rsidRPr="00BA500D" w:rsidTr="00A66370">
        <w:trPr>
          <w:trHeight w:val="457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960,1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768,08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986,3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736,7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1201,9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977,6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+241,8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+209,52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+215,6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+240,9</w:t>
            </w:r>
          </w:p>
        </w:tc>
      </w:tr>
      <w:tr w:rsidR="00A66370" w:rsidRPr="00BA500D" w:rsidTr="00A66370">
        <w:trPr>
          <w:trHeight w:val="686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A66370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66370" w:rsidRPr="00BA500D" w:rsidTr="00A66370">
        <w:trPr>
          <w:trHeight w:val="698"/>
        </w:trPr>
        <w:tc>
          <w:tcPr>
            <w:tcW w:w="1560" w:type="dxa"/>
            <w:shd w:val="clear" w:color="auto" w:fill="auto"/>
          </w:tcPr>
          <w:p w:rsidR="002104D1" w:rsidRPr="00BA500D" w:rsidRDefault="002104D1" w:rsidP="00BA500D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b/>
                <w:sz w:val="18"/>
                <w:szCs w:val="18"/>
                <w:lang w:eastAsia="en-US"/>
              </w:rPr>
              <w:t xml:space="preserve">Результат </w:t>
            </w:r>
          </w:p>
          <w:p w:rsidR="002104D1" w:rsidRPr="00BA500D" w:rsidRDefault="002104D1" w:rsidP="00BA500D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b/>
                <w:sz w:val="18"/>
                <w:szCs w:val="18"/>
                <w:lang w:eastAsia="en-US"/>
              </w:rPr>
              <w:t>(дефицит «-»</w:t>
            </w:r>
          </w:p>
          <w:p w:rsidR="002104D1" w:rsidRPr="00BA500D" w:rsidRDefault="002104D1" w:rsidP="00BA500D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00D">
              <w:rPr>
                <w:rFonts w:eastAsia="Calibri"/>
                <w:b/>
                <w:sz w:val="18"/>
                <w:szCs w:val="18"/>
                <w:lang w:eastAsia="en-US"/>
              </w:rPr>
              <w:t xml:space="preserve"> /профицит «+»)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-12073,11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+25275,67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-7954,1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+89189,1</w:t>
            </w:r>
          </w:p>
        </w:tc>
        <w:tc>
          <w:tcPr>
            <w:tcW w:w="992" w:type="dxa"/>
            <w:shd w:val="clear" w:color="auto" w:fill="auto"/>
          </w:tcPr>
          <w:p w:rsidR="002104D1" w:rsidRPr="00BA500D" w:rsidRDefault="00560622" w:rsidP="00505F3A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-33282,2</w:t>
            </w:r>
          </w:p>
        </w:tc>
        <w:tc>
          <w:tcPr>
            <w:tcW w:w="993" w:type="dxa"/>
            <w:shd w:val="clear" w:color="auto" w:fill="auto"/>
          </w:tcPr>
          <w:p w:rsidR="002104D1" w:rsidRPr="00BA500D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+50209,7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+21209,09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+24934,03</w:t>
            </w:r>
          </w:p>
        </w:tc>
        <w:tc>
          <w:tcPr>
            <w:tcW w:w="992" w:type="dxa"/>
            <w:shd w:val="clear" w:color="auto" w:fill="auto"/>
          </w:tcPr>
          <w:p w:rsidR="002104D1" w:rsidRPr="00A66370" w:rsidRDefault="00560622" w:rsidP="00BA500D">
            <w:pPr>
              <w:suppressAutoHyphens w:val="0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A66370">
              <w:rPr>
                <w:rFonts w:eastAsia="Calibri"/>
                <w:b/>
                <w:sz w:val="17"/>
                <w:szCs w:val="17"/>
                <w:lang w:eastAsia="en-US"/>
              </w:rPr>
              <w:t>+25328,1</w:t>
            </w:r>
          </w:p>
        </w:tc>
        <w:tc>
          <w:tcPr>
            <w:tcW w:w="851" w:type="dxa"/>
            <w:shd w:val="clear" w:color="auto" w:fill="auto"/>
          </w:tcPr>
          <w:p w:rsidR="002104D1" w:rsidRPr="00A66370" w:rsidRDefault="00440A98" w:rsidP="00BA500D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D1F16">
              <w:rPr>
                <w:rFonts w:eastAsia="Calibri"/>
                <w:b/>
                <w:sz w:val="16"/>
                <w:szCs w:val="16"/>
                <w:highlight w:val="lightGray"/>
                <w:lang w:eastAsia="en-US"/>
              </w:rPr>
              <w:t>-38979,4</w:t>
            </w:r>
          </w:p>
        </w:tc>
      </w:tr>
    </w:tbl>
    <w:p w:rsidR="002104D1" w:rsidRPr="002104D1" w:rsidRDefault="002104D1" w:rsidP="002104D1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0D4E" w:rsidRPr="002104D1" w:rsidRDefault="00467184" w:rsidP="00A80D4E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467184">
        <w:rPr>
          <w:rFonts w:eastAsia="Calibri"/>
          <w:lang w:eastAsia="en-US"/>
        </w:rPr>
        <w:t>В</w:t>
      </w:r>
      <w:r w:rsidR="00A80D4E" w:rsidRPr="00467184">
        <w:rPr>
          <w:rFonts w:eastAsia="Calibri"/>
          <w:lang w:eastAsia="en-US"/>
        </w:rPr>
        <w:t xml:space="preserve"> Таблиц</w:t>
      </w:r>
      <w:r w:rsidRPr="00467184">
        <w:rPr>
          <w:rFonts w:eastAsia="Calibri"/>
          <w:lang w:eastAsia="en-US"/>
        </w:rPr>
        <w:t>е</w:t>
      </w:r>
      <w:r w:rsidR="00A80D4E" w:rsidRPr="00467184">
        <w:rPr>
          <w:rFonts w:eastAsia="Calibri"/>
          <w:lang w:eastAsia="en-US"/>
        </w:rPr>
        <w:t xml:space="preserve"> №4, </w:t>
      </w:r>
      <w:r w:rsidRPr="00467184">
        <w:rPr>
          <w:rFonts w:eastAsia="Calibri"/>
          <w:lang w:eastAsia="en-US"/>
        </w:rPr>
        <w:t>можно отследить</w:t>
      </w:r>
      <w:r w:rsidR="00A80D4E" w:rsidRPr="00467184">
        <w:rPr>
          <w:rFonts w:eastAsia="Calibri"/>
          <w:lang w:eastAsia="en-US"/>
        </w:rPr>
        <w:t xml:space="preserve"> рост плановых показателей</w:t>
      </w:r>
      <w:r w:rsidRPr="00467184">
        <w:rPr>
          <w:rFonts w:eastAsia="Calibri"/>
          <w:lang w:eastAsia="en-US"/>
        </w:rPr>
        <w:t xml:space="preserve"> 2014 года</w:t>
      </w:r>
      <w:r w:rsidR="00A80D4E" w:rsidRPr="00467184">
        <w:rPr>
          <w:rFonts w:eastAsia="Calibri"/>
          <w:lang w:eastAsia="en-US"/>
        </w:rPr>
        <w:t xml:space="preserve">, к плановым показателям за девять месяцев 2012 года. Но </w:t>
      </w:r>
      <w:r w:rsidRPr="00467184">
        <w:rPr>
          <w:rFonts w:eastAsia="Calibri"/>
          <w:lang w:eastAsia="en-US"/>
        </w:rPr>
        <w:t xml:space="preserve">по отношению к  показателям 2013 года </w:t>
      </w:r>
      <w:r w:rsidR="00A80D4E" w:rsidRPr="00467184">
        <w:rPr>
          <w:rFonts w:eastAsia="Calibri"/>
          <w:lang w:eastAsia="en-US"/>
        </w:rPr>
        <w:t>по состоянию на 01.10.2014 отмечено снижение, плановых показателей как доходов так и расходов к показателям бюджета за аналогичный период.</w:t>
      </w:r>
      <w:r w:rsidR="00A80D4E" w:rsidRPr="002104D1">
        <w:rPr>
          <w:rFonts w:eastAsia="Calibri"/>
          <w:lang w:eastAsia="en-US"/>
        </w:rPr>
        <w:t xml:space="preserve"> </w:t>
      </w:r>
    </w:p>
    <w:p w:rsidR="00A80D4E" w:rsidRPr="002104D1" w:rsidRDefault="00A80D4E" w:rsidP="00A80D4E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104D1">
        <w:rPr>
          <w:rFonts w:eastAsia="Calibri"/>
          <w:lang w:eastAsia="en-US"/>
        </w:rPr>
        <w:t xml:space="preserve">На Диаграмме №1 </w:t>
      </w:r>
      <w:r>
        <w:rPr>
          <w:rFonts w:eastAsia="Calibri"/>
          <w:lang w:eastAsia="en-US"/>
        </w:rPr>
        <w:t>можно увидеть</w:t>
      </w:r>
      <w:r w:rsidRPr="002104D1">
        <w:rPr>
          <w:rFonts w:eastAsia="Calibri"/>
          <w:lang w:eastAsia="en-US"/>
        </w:rPr>
        <w:t xml:space="preserve"> снижение плановых показателей  по налоговым и неналоговым доходам в исследуемом периоде.</w:t>
      </w:r>
    </w:p>
    <w:p w:rsidR="00A80D4E" w:rsidRPr="002104D1" w:rsidRDefault="00A80D4E" w:rsidP="00A80D4E">
      <w:pPr>
        <w:suppressAutoHyphens w:val="0"/>
        <w:spacing w:line="276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Диаграмма №1</w:t>
      </w:r>
    </w:p>
    <w:p w:rsidR="00A80D4E" w:rsidRDefault="00A80D4E" w:rsidP="00A80D4E">
      <w:pPr>
        <w:jc w:val="both"/>
      </w:pPr>
    </w:p>
    <w:p w:rsidR="00A80D4E" w:rsidRPr="005A13AF" w:rsidRDefault="00440018" w:rsidP="00A80D4E">
      <w:pPr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48325" cy="31146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0D4E" w:rsidRDefault="00A80D4E" w:rsidP="00A80D4E">
      <w:pPr>
        <w:ind w:left="1634"/>
        <w:jc w:val="both"/>
        <w:rPr>
          <w:b/>
          <w:bCs/>
        </w:rPr>
      </w:pPr>
    </w:p>
    <w:p w:rsidR="00A80D4E" w:rsidRDefault="00A80D4E" w:rsidP="00A80D4E">
      <w:pPr>
        <w:ind w:left="1634"/>
        <w:jc w:val="both"/>
        <w:rPr>
          <w:b/>
          <w:bCs/>
        </w:rPr>
      </w:pPr>
    </w:p>
    <w:p w:rsidR="00A80D4E" w:rsidRDefault="00A80D4E" w:rsidP="00A80D4E">
      <w:pPr>
        <w:ind w:left="1634"/>
        <w:jc w:val="both"/>
        <w:rPr>
          <w:b/>
          <w:bCs/>
        </w:rPr>
      </w:pPr>
    </w:p>
    <w:p w:rsidR="00A80D4E" w:rsidRDefault="00A80D4E" w:rsidP="00A80D4E">
      <w:pPr>
        <w:jc w:val="center"/>
        <w:rPr>
          <w:b/>
          <w:bCs/>
        </w:rPr>
      </w:pPr>
      <w:r w:rsidRPr="00043CF7">
        <w:rPr>
          <w:b/>
          <w:bCs/>
        </w:rPr>
        <w:t>ВЫВОДЫ:</w:t>
      </w:r>
    </w:p>
    <w:p w:rsidR="00A80D4E" w:rsidRDefault="00A80D4E" w:rsidP="00A80D4E">
      <w:pPr>
        <w:jc w:val="center"/>
        <w:rPr>
          <w:b/>
          <w:bCs/>
        </w:rPr>
      </w:pPr>
    </w:p>
    <w:p w:rsidR="00A80D4E" w:rsidRDefault="00A80D4E" w:rsidP="00A80D4E">
      <w:pPr>
        <w:jc w:val="both"/>
      </w:pPr>
      <w:r>
        <w:rPr>
          <w:b/>
          <w:bCs/>
        </w:rPr>
        <w:tab/>
        <w:t xml:space="preserve">1. </w:t>
      </w:r>
      <w:r>
        <w:t>За девять месяцев текущего года в бюджет городского округа Вичуга поступило</w:t>
      </w:r>
      <w:r>
        <w:rPr>
          <w:b/>
          <w:bCs/>
        </w:rPr>
        <w:t xml:space="preserve"> 344593,7 тыс. рублей доходов, </w:t>
      </w:r>
      <w:r>
        <w:t>что составляет 68,35% по отношению к годовым плановым назначениям (504160,4 тыс. рублей). В доходах бюджета городского округа Вичуга налоговые и не налоговые доходы составили 92108,5 тыс. рублей, или 26,72% от общей суммы средств, поступивших в доход бюджета городского округа Вичуга (344593,7 тыс. рублей), безвозмездные поступления 252485,2 тыс. рублей, или 73,28%.</w:t>
      </w:r>
    </w:p>
    <w:p w:rsidR="00A80D4E" w:rsidRDefault="00A80D4E" w:rsidP="00A80D4E">
      <w:pPr>
        <w:jc w:val="both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Расходы</w:t>
      </w:r>
      <w:r>
        <w:t xml:space="preserve"> из бюджета городского округа Вичуга за девять месяцев текущего года произведены в сумме </w:t>
      </w:r>
      <w:r>
        <w:rPr>
          <w:b/>
          <w:bCs/>
        </w:rPr>
        <w:t>294384,0 тыс. рублей</w:t>
      </w:r>
      <w:r>
        <w:t xml:space="preserve">, что составляет 54,77% к годовым бюджетным назначениям (537442,6 тыс. рублей). </w:t>
      </w:r>
      <w:r w:rsidR="0032504F">
        <w:t xml:space="preserve"> Анализ исполнения расходов в разрезе функциональной классификации на 01.</w:t>
      </w:r>
      <w:r>
        <w:t>10</w:t>
      </w:r>
      <w:r w:rsidR="0032504F">
        <w:t>.201</w:t>
      </w:r>
      <w:r w:rsidR="005C071F">
        <w:t>4</w:t>
      </w:r>
      <w:r w:rsidR="0032504F">
        <w:t xml:space="preserve"> года показывает, </w:t>
      </w:r>
      <w:r w:rsidRPr="00A80D4E">
        <w:t>что наибольший удельный вес в структуре расходов от общих расходов за девять месяцев 2014 года занимают расходы на образование — 61,99%, жилищно-коммунальное хозяйство — 9,94 %, общегосударственные вопросы — 9,69%,  культура и кинематография — 7,34%, национальная экономика — 5,1%,  физическая культура и спорт — 2,73%, социальная политика — 2,28%, национальная безопасность и правоохранительная деятельность — 0,59%, средства массовой информации — 0,34%, обслуживание государственного внутреннего и муниципального долга – 0%.</w:t>
      </w:r>
    </w:p>
    <w:p w:rsidR="0032504F" w:rsidRDefault="0032504F" w:rsidP="00A80D4E">
      <w:pPr>
        <w:ind w:firstLine="708"/>
        <w:jc w:val="both"/>
      </w:pPr>
      <w:r>
        <w:t>Контрольно-счетная комиссия обращает внимание на качество планирования бюджетных расходов:</w:t>
      </w:r>
    </w:p>
    <w:p w:rsidR="0032504F" w:rsidRDefault="00EE64D7">
      <w:pPr>
        <w:jc w:val="both"/>
      </w:pPr>
      <w:r>
        <w:t xml:space="preserve">           -</w:t>
      </w:r>
      <w:r w:rsidR="0032504F">
        <w:t xml:space="preserve"> </w:t>
      </w:r>
      <w:r w:rsidR="005C071F" w:rsidRPr="005C071F">
        <w:tab/>
      </w:r>
      <w:r w:rsidR="00F21DF6" w:rsidRPr="00F21DF6">
        <w:t>бюджета городского округа Вичуга исполнение бюджетных назначений не превысило 75,0 процентов: физическая культура и спорт – 74,33%, национальная экономика – 73,15%, национальная безопасность — 71,09%,  общегосударственные вопросы — 68,05%, культура и кинематография — 67,9%, образование — 63,42%,    социальная политика — 35,67%, жилищно-коммунальное хозяйство  - 23,98%, обслуживание государственного и муниципального долга исполнение составило 0%.</w:t>
      </w:r>
      <w:r w:rsidR="0032504F">
        <w:tab/>
      </w:r>
      <w:r w:rsidR="0032504F">
        <w:rPr>
          <w:b/>
          <w:bCs/>
        </w:rPr>
        <w:t>3.</w:t>
      </w:r>
      <w:r w:rsidR="0032504F">
        <w:t xml:space="preserve"> </w:t>
      </w:r>
      <w:r w:rsidR="00F21DF6">
        <w:t>За девять месяцев</w:t>
      </w:r>
      <w:r w:rsidR="0032504F">
        <w:t xml:space="preserve"> текущего года бюджет городского округа Вичуга характеризуется превышением доходов над расходами бюджета в сумме </w:t>
      </w:r>
      <w:r w:rsidR="00F21DF6">
        <w:rPr>
          <w:b/>
          <w:bCs/>
        </w:rPr>
        <w:t>50209,7</w:t>
      </w:r>
      <w:r w:rsidR="00AF6E1D" w:rsidRPr="00AF6E1D">
        <w:rPr>
          <w:b/>
          <w:bCs/>
        </w:rPr>
        <w:t xml:space="preserve"> </w:t>
      </w:r>
      <w:r w:rsidR="0032504F">
        <w:rPr>
          <w:b/>
          <w:bCs/>
        </w:rPr>
        <w:t xml:space="preserve"> тыс. рублей</w:t>
      </w:r>
      <w:r w:rsidR="0032504F">
        <w:t>.</w:t>
      </w:r>
    </w:p>
    <w:p w:rsidR="00C24BD0" w:rsidRDefault="00C24BD0">
      <w:pPr>
        <w:jc w:val="both"/>
      </w:pPr>
      <w:r>
        <w:tab/>
      </w:r>
      <w:r w:rsidRPr="001B6A97">
        <w:rPr>
          <w:b/>
        </w:rPr>
        <w:t>4.</w:t>
      </w:r>
      <w:r>
        <w:t xml:space="preserve"> Анализ документов представленных администрацией городского округа Вичуга по исполнению бюджета городского округа Вичуга за </w:t>
      </w:r>
      <w:r w:rsidR="004C6377">
        <w:t>девять месяцев</w:t>
      </w:r>
      <w:r>
        <w:t xml:space="preserve"> 2014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776DEF">
        <w:t>10</w:t>
      </w:r>
      <w:r>
        <w:t>.2014 года, предоставленной Управлением Федерального казначейства по Ивановской области.</w:t>
      </w:r>
    </w:p>
    <w:p w:rsidR="0032504F" w:rsidRDefault="005A13AF" w:rsidP="005A13AF">
      <w:pPr>
        <w:jc w:val="both"/>
      </w:pPr>
      <w:r>
        <w:tab/>
      </w:r>
    </w:p>
    <w:p w:rsidR="00C24BD0" w:rsidRPr="005A13AF" w:rsidRDefault="00C24BD0" w:rsidP="005A13AF">
      <w:pPr>
        <w:jc w:val="both"/>
      </w:pPr>
    </w:p>
    <w:p w:rsidR="0032504F" w:rsidRDefault="0032504F">
      <w:pPr>
        <w:jc w:val="center"/>
        <w:rPr>
          <w:b/>
          <w:bCs/>
        </w:rPr>
      </w:pPr>
      <w:r>
        <w:rPr>
          <w:b/>
          <w:bCs/>
        </w:rPr>
        <w:t>ПРЕДЛОЖЕНИЯ:</w:t>
      </w:r>
    </w:p>
    <w:p w:rsidR="0032504F" w:rsidRDefault="0032504F">
      <w:pPr>
        <w:jc w:val="center"/>
        <w:rPr>
          <w:b/>
          <w:bCs/>
        </w:rPr>
      </w:pPr>
    </w:p>
    <w:p w:rsidR="00C24BD0" w:rsidRDefault="00C24BD0">
      <w:pPr>
        <w:jc w:val="center"/>
        <w:rPr>
          <w:b/>
          <w:bCs/>
        </w:rPr>
      </w:pPr>
    </w:p>
    <w:p w:rsidR="0032504F" w:rsidRDefault="0032504F" w:rsidP="00D553AE">
      <w:pPr>
        <w:ind w:firstLine="708"/>
        <w:jc w:val="both"/>
        <w:rPr>
          <w:b/>
          <w:bCs/>
        </w:rPr>
      </w:pPr>
      <w:r>
        <w:t>Контрольно-счетная комиссия городского округа Вичуга предлагает: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  <w:r>
        <w:rPr>
          <w:b/>
          <w:bCs/>
        </w:rPr>
        <w:t>-</w:t>
      </w:r>
      <w:r>
        <w:t xml:space="preserve"> главным администраторам доходов бюджета  городского округа Вичуга (финансовый отдел, комитет по управлению  имуществом администрации  городского округа Вичуга) осуществлять постоянный мониторинг исполнения показателей по доходам бюджета, выявлять и учитывать резервы для увеличения годовых назначений по доходам и риски недостижения годовых назначений по доходам;</w:t>
      </w:r>
    </w:p>
    <w:p w:rsidR="0032504F" w:rsidRDefault="0032504F">
      <w:pPr>
        <w:jc w:val="both"/>
      </w:pPr>
    </w:p>
    <w:p w:rsidR="0032504F" w:rsidRDefault="0032504F">
      <w:pPr>
        <w:jc w:val="both"/>
        <w:rPr>
          <w:b/>
          <w:bCs/>
        </w:rPr>
      </w:pPr>
      <w:r>
        <w:t>- главным распорядителям бюджетных средств бюджета городского округа Вичуга во исполнение бюджетных полномочий, установленных Положением о бюджетном процессе в  городском округе Вичуга, утвержденным решением Думы от 26.05.2011 № 53, обеспечить эффективное исполнение соответствующих статей бюджета. Постоянно осуществлять ведомственный контроль в сфере своей деятельности.</w:t>
      </w:r>
    </w:p>
    <w:p w:rsidR="0032504F" w:rsidRDefault="0032504F">
      <w:pPr>
        <w:jc w:val="both"/>
        <w:rPr>
          <w:b/>
          <w:bCs/>
        </w:rPr>
      </w:pPr>
    </w:p>
    <w:p w:rsidR="0032504F" w:rsidRDefault="0032504F">
      <w:pPr>
        <w:jc w:val="both"/>
      </w:pPr>
    </w:p>
    <w:p w:rsidR="00AF6E1D" w:rsidRDefault="0032504F">
      <w:pPr>
        <w:jc w:val="both"/>
        <w:rPr>
          <w:b/>
        </w:rPr>
      </w:pPr>
      <w:r>
        <w:rPr>
          <w:b/>
        </w:rPr>
        <w:t>Председатель</w:t>
      </w:r>
      <w:r w:rsidR="00AF6E1D">
        <w:rPr>
          <w:b/>
        </w:rPr>
        <w:t xml:space="preserve"> Контрольно-счетной </w:t>
      </w:r>
    </w:p>
    <w:p w:rsidR="00AB076E" w:rsidRDefault="00AF6E1D">
      <w:pPr>
        <w:rPr>
          <w:b/>
        </w:rPr>
      </w:pPr>
      <w:r>
        <w:rPr>
          <w:b/>
        </w:rPr>
        <w:t>комиссии городского округа Вичуга</w:t>
      </w:r>
      <w:r w:rsidR="0032504F">
        <w:rPr>
          <w:b/>
        </w:rPr>
        <w:t xml:space="preserve">: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О.В. Стрелкова</w:t>
      </w:r>
      <w:r w:rsidR="0032504F">
        <w:rPr>
          <w:b/>
        </w:rPr>
        <w:t xml:space="preserve">               </w:t>
      </w:r>
    </w:p>
    <w:p w:rsidR="0032504F" w:rsidRPr="00AB076E" w:rsidRDefault="0032504F">
      <w:r>
        <w:rPr>
          <w:b/>
        </w:rPr>
        <w:t xml:space="preserve">                                                        </w:t>
      </w:r>
    </w:p>
    <w:p w:rsidR="005A13AF" w:rsidRDefault="0032504F">
      <w:pPr>
        <w:rPr>
          <w:b/>
          <w:sz w:val="14"/>
          <w:szCs w:val="14"/>
        </w:rPr>
      </w:pPr>
      <w:r>
        <w:rPr>
          <w:sz w:val="14"/>
          <w:szCs w:val="14"/>
        </w:rPr>
        <w:t>Исполнитель: Головина Е.А.</w:t>
      </w:r>
    </w:p>
    <w:p w:rsidR="00BE0979" w:rsidRPr="004C4263" w:rsidRDefault="0032504F">
      <w:pPr>
        <w:rPr>
          <w:b/>
          <w:sz w:val="14"/>
          <w:szCs w:val="14"/>
        </w:rPr>
      </w:pPr>
      <w:r>
        <w:rPr>
          <w:sz w:val="14"/>
          <w:szCs w:val="14"/>
        </w:rPr>
        <w:t>Тел: 3-70-83</w:t>
      </w:r>
    </w:p>
    <w:sectPr w:rsidR="00BE0979" w:rsidRPr="004C4263"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3D" w:rsidRDefault="00C0453D" w:rsidP="004C4263">
      <w:r>
        <w:separator/>
      </w:r>
    </w:p>
  </w:endnote>
  <w:endnote w:type="continuationSeparator" w:id="0">
    <w:p w:rsidR="00C0453D" w:rsidRDefault="00C0453D" w:rsidP="004C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3" w:rsidRDefault="004C426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40018">
      <w:rPr>
        <w:noProof/>
      </w:rPr>
      <w:t>1</w:t>
    </w:r>
    <w:r>
      <w:fldChar w:fldCharType="end"/>
    </w:r>
  </w:p>
  <w:p w:rsidR="004C4263" w:rsidRDefault="004C42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3D" w:rsidRDefault="00C0453D" w:rsidP="004C4263">
      <w:r>
        <w:separator/>
      </w:r>
    </w:p>
  </w:footnote>
  <w:footnote w:type="continuationSeparator" w:id="0">
    <w:p w:rsidR="00C0453D" w:rsidRDefault="00C0453D" w:rsidP="004C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4"/>
        </w:tabs>
        <w:ind w:left="19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4"/>
        </w:tabs>
        <w:ind w:left="30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4"/>
        </w:tabs>
        <w:ind w:left="41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4"/>
        </w:tabs>
        <w:ind w:left="4514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6FB6CF5"/>
    <w:multiLevelType w:val="hybridMultilevel"/>
    <w:tmpl w:val="B8AA0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55FA6"/>
    <w:multiLevelType w:val="hybridMultilevel"/>
    <w:tmpl w:val="1C24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B"/>
    <w:rsid w:val="0000000C"/>
    <w:rsid w:val="0000671C"/>
    <w:rsid w:val="000079C1"/>
    <w:rsid w:val="0001459A"/>
    <w:rsid w:val="00016850"/>
    <w:rsid w:val="00027479"/>
    <w:rsid w:val="0002798A"/>
    <w:rsid w:val="00031E9D"/>
    <w:rsid w:val="00032CE3"/>
    <w:rsid w:val="00033FA3"/>
    <w:rsid w:val="000410F6"/>
    <w:rsid w:val="000426C0"/>
    <w:rsid w:val="0004364A"/>
    <w:rsid w:val="00043CF7"/>
    <w:rsid w:val="00046D39"/>
    <w:rsid w:val="00047AC2"/>
    <w:rsid w:val="000532A8"/>
    <w:rsid w:val="00054940"/>
    <w:rsid w:val="00056EB3"/>
    <w:rsid w:val="000604DE"/>
    <w:rsid w:val="00070925"/>
    <w:rsid w:val="00071BB7"/>
    <w:rsid w:val="00074892"/>
    <w:rsid w:val="00080E9F"/>
    <w:rsid w:val="00081CE2"/>
    <w:rsid w:val="000909A8"/>
    <w:rsid w:val="000A0366"/>
    <w:rsid w:val="000A036C"/>
    <w:rsid w:val="000B4FFA"/>
    <w:rsid w:val="000B61A4"/>
    <w:rsid w:val="000C07D4"/>
    <w:rsid w:val="000C4E9D"/>
    <w:rsid w:val="000C6AFB"/>
    <w:rsid w:val="000D30B8"/>
    <w:rsid w:val="000D4B9C"/>
    <w:rsid w:val="000E0E2D"/>
    <w:rsid w:val="000E2085"/>
    <w:rsid w:val="000E49CF"/>
    <w:rsid w:val="000E5147"/>
    <w:rsid w:val="000E6A1F"/>
    <w:rsid w:val="000F148F"/>
    <w:rsid w:val="000F1DA1"/>
    <w:rsid w:val="00101860"/>
    <w:rsid w:val="0010562D"/>
    <w:rsid w:val="001121AC"/>
    <w:rsid w:val="00112B16"/>
    <w:rsid w:val="001216F4"/>
    <w:rsid w:val="0012227F"/>
    <w:rsid w:val="00122FA7"/>
    <w:rsid w:val="001255D8"/>
    <w:rsid w:val="001264B5"/>
    <w:rsid w:val="00130E65"/>
    <w:rsid w:val="0013398A"/>
    <w:rsid w:val="001367EE"/>
    <w:rsid w:val="001376AD"/>
    <w:rsid w:val="0015045B"/>
    <w:rsid w:val="00160814"/>
    <w:rsid w:val="00163005"/>
    <w:rsid w:val="0019084F"/>
    <w:rsid w:val="00193537"/>
    <w:rsid w:val="00193665"/>
    <w:rsid w:val="001A0F69"/>
    <w:rsid w:val="001A4157"/>
    <w:rsid w:val="001A42ED"/>
    <w:rsid w:val="001A5811"/>
    <w:rsid w:val="001B6A97"/>
    <w:rsid w:val="001C2F35"/>
    <w:rsid w:val="001C67C4"/>
    <w:rsid w:val="001C6A2C"/>
    <w:rsid w:val="001D2A62"/>
    <w:rsid w:val="001D372A"/>
    <w:rsid w:val="001D5F21"/>
    <w:rsid w:val="001D69A1"/>
    <w:rsid w:val="001D6AF7"/>
    <w:rsid w:val="001E06C7"/>
    <w:rsid w:val="001E3390"/>
    <w:rsid w:val="001F1E3D"/>
    <w:rsid w:val="001F2EE7"/>
    <w:rsid w:val="001F2F11"/>
    <w:rsid w:val="001F5EF8"/>
    <w:rsid w:val="00201162"/>
    <w:rsid w:val="00201EEE"/>
    <w:rsid w:val="002041A4"/>
    <w:rsid w:val="00205822"/>
    <w:rsid w:val="00205A09"/>
    <w:rsid w:val="00206C3E"/>
    <w:rsid w:val="00206F0D"/>
    <w:rsid w:val="00206F64"/>
    <w:rsid w:val="002104D1"/>
    <w:rsid w:val="00214D4D"/>
    <w:rsid w:val="00216225"/>
    <w:rsid w:val="002214D5"/>
    <w:rsid w:val="0022282C"/>
    <w:rsid w:val="00223B94"/>
    <w:rsid w:val="0022447B"/>
    <w:rsid w:val="00224A66"/>
    <w:rsid w:val="0022528B"/>
    <w:rsid w:val="0023094E"/>
    <w:rsid w:val="00231CC6"/>
    <w:rsid w:val="00232786"/>
    <w:rsid w:val="00237ED2"/>
    <w:rsid w:val="002418C7"/>
    <w:rsid w:val="00241D35"/>
    <w:rsid w:val="00242338"/>
    <w:rsid w:val="002437B5"/>
    <w:rsid w:val="00251104"/>
    <w:rsid w:val="0025202B"/>
    <w:rsid w:val="002549F7"/>
    <w:rsid w:val="00260479"/>
    <w:rsid w:val="0026053A"/>
    <w:rsid w:val="0026258B"/>
    <w:rsid w:val="00262D5C"/>
    <w:rsid w:val="00266862"/>
    <w:rsid w:val="00273413"/>
    <w:rsid w:val="00274091"/>
    <w:rsid w:val="002746B5"/>
    <w:rsid w:val="00277DFE"/>
    <w:rsid w:val="00280E9A"/>
    <w:rsid w:val="00282818"/>
    <w:rsid w:val="00290A6C"/>
    <w:rsid w:val="00295E52"/>
    <w:rsid w:val="00297989"/>
    <w:rsid w:val="002A0B7A"/>
    <w:rsid w:val="002A32CB"/>
    <w:rsid w:val="002A630B"/>
    <w:rsid w:val="002B0DFA"/>
    <w:rsid w:val="002B1A21"/>
    <w:rsid w:val="002C4814"/>
    <w:rsid w:val="002C4D4E"/>
    <w:rsid w:val="002C5C46"/>
    <w:rsid w:val="002D2663"/>
    <w:rsid w:val="002E0B83"/>
    <w:rsid w:val="002E4D9C"/>
    <w:rsid w:val="002F42AF"/>
    <w:rsid w:val="002F4D6F"/>
    <w:rsid w:val="002F7348"/>
    <w:rsid w:val="00300954"/>
    <w:rsid w:val="003010C7"/>
    <w:rsid w:val="00303116"/>
    <w:rsid w:val="00303745"/>
    <w:rsid w:val="00304F1F"/>
    <w:rsid w:val="003054A3"/>
    <w:rsid w:val="00306136"/>
    <w:rsid w:val="0030763C"/>
    <w:rsid w:val="00313371"/>
    <w:rsid w:val="00313534"/>
    <w:rsid w:val="00320459"/>
    <w:rsid w:val="00323556"/>
    <w:rsid w:val="00324076"/>
    <w:rsid w:val="00324CC4"/>
    <w:rsid w:val="0032504F"/>
    <w:rsid w:val="00325513"/>
    <w:rsid w:val="00333D3A"/>
    <w:rsid w:val="00335A74"/>
    <w:rsid w:val="00344D3E"/>
    <w:rsid w:val="00350C7F"/>
    <w:rsid w:val="00352CDF"/>
    <w:rsid w:val="00353FC1"/>
    <w:rsid w:val="003560D1"/>
    <w:rsid w:val="003571C9"/>
    <w:rsid w:val="00360752"/>
    <w:rsid w:val="003608AF"/>
    <w:rsid w:val="00363615"/>
    <w:rsid w:val="00366D33"/>
    <w:rsid w:val="00367CFA"/>
    <w:rsid w:val="00371A92"/>
    <w:rsid w:val="00372E62"/>
    <w:rsid w:val="003741C3"/>
    <w:rsid w:val="003778E7"/>
    <w:rsid w:val="003808A1"/>
    <w:rsid w:val="00381979"/>
    <w:rsid w:val="00382CBB"/>
    <w:rsid w:val="00384C71"/>
    <w:rsid w:val="0038594E"/>
    <w:rsid w:val="00387417"/>
    <w:rsid w:val="003876DF"/>
    <w:rsid w:val="00391B7A"/>
    <w:rsid w:val="00394447"/>
    <w:rsid w:val="003A1A69"/>
    <w:rsid w:val="003A353B"/>
    <w:rsid w:val="003A63E7"/>
    <w:rsid w:val="003B1934"/>
    <w:rsid w:val="003B3310"/>
    <w:rsid w:val="003B5CD7"/>
    <w:rsid w:val="003B793C"/>
    <w:rsid w:val="003C4E3D"/>
    <w:rsid w:val="003C6F4F"/>
    <w:rsid w:val="003C7C58"/>
    <w:rsid w:val="003D002D"/>
    <w:rsid w:val="003E02BD"/>
    <w:rsid w:val="003E3907"/>
    <w:rsid w:val="003E4751"/>
    <w:rsid w:val="003E5297"/>
    <w:rsid w:val="004000B5"/>
    <w:rsid w:val="00400CED"/>
    <w:rsid w:val="00401EC7"/>
    <w:rsid w:val="00404712"/>
    <w:rsid w:val="00405ADA"/>
    <w:rsid w:val="00406B1D"/>
    <w:rsid w:val="00411C46"/>
    <w:rsid w:val="00413354"/>
    <w:rsid w:val="004217E3"/>
    <w:rsid w:val="0042211A"/>
    <w:rsid w:val="00424924"/>
    <w:rsid w:val="00427289"/>
    <w:rsid w:val="00440018"/>
    <w:rsid w:val="00440A98"/>
    <w:rsid w:val="00443117"/>
    <w:rsid w:val="00444598"/>
    <w:rsid w:val="00446D09"/>
    <w:rsid w:val="00455E50"/>
    <w:rsid w:val="004608FF"/>
    <w:rsid w:val="0046193D"/>
    <w:rsid w:val="004638CF"/>
    <w:rsid w:val="004648E5"/>
    <w:rsid w:val="00465357"/>
    <w:rsid w:val="00465B74"/>
    <w:rsid w:val="00466099"/>
    <w:rsid w:val="0046688D"/>
    <w:rsid w:val="00467184"/>
    <w:rsid w:val="00484805"/>
    <w:rsid w:val="00486CE6"/>
    <w:rsid w:val="004911B6"/>
    <w:rsid w:val="004918A1"/>
    <w:rsid w:val="00495BBB"/>
    <w:rsid w:val="00496D96"/>
    <w:rsid w:val="00497799"/>
    <w:rsid w:val="004B07ED"/>
    <w:rsid w:val="004B2F2C"/>
    <w:rsid w:val="004B3F0B"/>
    <w:rsid w:val="004B4F11"/>
    <w:rsid w:val="004B54C8"/>
    <w:rsid w:val="004B6DE3"/>
    <w:rsid w:val="004C1A16"/>
    <w:rsid w:val="004C2445"/>
    <w:rsid w:val="004C28BD"/>
    <w:rsid w:val="004C2B16"/>
    <w:rsid w:val="004C4263"/>
    <w:rsid w:val="004C6377"/>
    <w:rsid w:val="004D1214"/>
    <w:rsid w:val="004D1F16"/>
    <w:rsid w:val="004D2D5D"/>
    <w:rsid w:val="004D741B"/>
    <w:rsid w:val="004E10C0"/>
    <w:rsid w:val="004E32C1"/>
    <w:rsid w:val="004E6A94"/>
    <w:rsid w:val="004F097D"/>
    <w:rsid w:val="004F169C"/>
    <w:rsid w:val="004F71F7"/>
    <w:rsid w:val="004F7571"/>
    <w:rsid w:val="0050217E"/>
    <w:rsid w:val="00503D34"/>
    <w:rsid w:val="00505F3A"/>
    <w:rsid w:val="00506377"/>
    <w:rsid w:val="00510026"/>
    <w:rsid w:val="005103B2"/>
    <w:rsid w:val="0051342B"/>
    <w:rsid w:val="00513DE0"/>
    <w:rsid w:val="00527FD4"/>
    <w:rsid w:val="00530899"/>
    <w:rsid w:val="00543B9A"/>
    <w:rsid w:val="005465DE"/>
    <w:rsid w:val="00550620"/>
    <w:rsid w:val="00550F0F"/>
    <w:rsid w:val="00552B63"/>
    <w:rsid w:val="00555C8B"/>
    <w:rsid w:val="00560287"/>
    <w:rsid w:val="00560622"/>
    <w:rsid w:val="0056564B"/>
    <w:rsid w:val="00572100"/>
    <w:rsid w:val="00572287"/>
    <w:rsid w:val="00572643"/>
    <w:rsid w:val="00574950"/>
    <w:rsid w:val="0058664C"/>
    <w:rsid w:val="00590BFB"/>
    <w:rsid w:val="00593ADC"/>
    <w:rsid w:val="00593DA7"/>
    <w:rsid w:val="005A0448"/>
    <w:rsid w:val="005A13AF"/>
    <w:rsid w:val="005A1589"/>
    <w:rsid w:val="005A253A"/>
    <w:rsid w:val="005A3DAF"/>
    <w:rsid w:val="005A5816"/>
    <w:rsid w:val="005A77A2"/>
    <w:rsid w:val="005B561A"/>
    <w:rsid w:val="005C071F"/>
    <w:rsid w:val="005C178E"/>
    <w:rsid w:val="005C560E"/>
    <w:rsid w:val="005D287E"/>
    <w:rsid w:val="005D40AF"/>
    <w:rsid w:val="005D43FC"/>
    <w:rsid w:val="005E3A6E"/>
    <w:rsid w:val="005E46E0"/>
    <w:rsid w:val="005F63D7"/>
    <w:rsid w:val="005F7F2C"/>
    <w:rsid w:val="0060682D"/>
    <w:rsid w:val="00613C75"/>
    <w:rsid w:val="00625145"/>
    <w:rsid w:val="00627243"/>
    <w:rsid w:val="00627436"/>
    <w:rsid w:val="00635463"/>
    <w:rsid w:val="0063773D"/>
    <w:rsid w:val="00642AD8"/>
    <w:rsid w:val="00645692"/>
    <w:rsid w:val="00645D8E"/>
    <w:rsid w:val="00646F42"/>
    <w:rsid w:val="006475C3"/>
    <w:rsid w:val="00647CDB"/>
    <w:rsid w:val="00654318"/>
    <w:rsid w:val="00657067"/>
    <w:rsid w:val="0065794D"/>
    <w:rsid w:val="00657AA6"/>
    <w:rsid w:val="00662133"/>
    <w:rsid w:val="00666B8A"/>
    <w:rsid w:val="006702E4"/>
    <w:rsid w:val="00673F44"/>
    <w:rsid w:val="0067432F"/>
    <w:rsid w:val="00676459"/>
    <w:rsid w:val="006977D9"/>
    <w:rsid w:val="006A393F"/>
    <w:rsid w:val="006A6C84"/>
    <w:rsid w:val="006A70E4"/>
    <w:rsid w:val="006B322F"/>
    <w:rsid w:val="006B39F5"/>
    <w:rsid w:val="006B51A4"/>
    <w:rsid w:val="006C094B"/>
    <w:rsid w:val="006C4948"/>
    <w:rsid w:val="006C5265"/>
    <w:rsid w:val="006C63BB"/>
    <w:rsid w:val="006C64C8"/>
    <w:rsid w:val="006C6C9B"/>
    <w:rsid w:val="006C7B24"/>
    <w:rsid w:val="006D4D64"/>
    <w:rsid w:val="006E4461"/>
    <w:rsid w:val="006E521F"/>
    <w:rsid w:val="006E6DB0"/>
    <w:rsid w:val="006F14C3"/>
    <w:rsid w:val="006F245B"/>
    <w:rsid w:val="006F2D1B"/>
    <w:rsid w:val="006F782D"/>
    <w:rsid w:val="006F7B56"/>
    <w:rsid w:val="0071155E"/>
    <w:rsid w:val="007134CD"/>
    <w:rsid w:val="00721F38"/>
    <w:rsid w:val="0073078D"/>
    <w:rsid w:val="00734B4E"/>
    <w:rsid w:val="00735EF6"/>
    <w:rsid w:val="00737005"/>
    <w:rsid w:val="00741CBE"/>
    <w:rsid w:val="0075387B"/>
    <w:rsid w:val="00753C7A"/>
    <w:rsid w:val="007618FE"/>
    <w:rsid w:val="00765517"/>
    <w:rsid w:val="00770054"/>
    <w:rsid w:val="00770199"/>
    <w:rsid w:val="00776DEF"/>
    <w:rsid w:val="00777867"/>
    <w:rsid w:val="00782E4B"/>
    <w:rsid w:val="00787FB4"/>
    <w:rsid w:val="00791FA8"/>
    <w:rsid w:val="0079211F"/>
    <w:rsid w:val="00794D2E"/>
    <w:rsid w:val="007A267E"/>
    <w:rsid w:val="007A294F"/>
    <w:rsid w:val="007A2A29"/>
    <w:rsid w:val="007A3A05"/>
    <w:rsid w:val="007A5907"/>
    <w:rsid w:val="007B1736"/>
    <w:rsid w:val="007C4D85"/>
    <w:rsid w:val="007C6005"/>
    <w:rsid w:val="007C75F4"/>
    <w:rsid w:val="007C7C55"/>
    <w:rsid w:val="007D1043"/>
    <w:rsid w:val="007D2D17"/>
    <w:rsid w:val="007E05C3"/>
    <w:rsid w:val="007E318E"/>
    <w:rsid w:val="007E52DA"/>
    <w:rsid w:val="007E7DC8"/>
    <w:rsid w:val="007F2717"/>
    <w:rsid w:val="007F68B0"/>
    <w:rsid w:val="00802C4F"/>
    <w:rsid w:val="0080359F"/>
    <w:rsid w:val="00810DD0"/>
    <w:rsid w:val="0081672F"/>
    <w:rsid w:val="0081746E"/>
    <w:rsid w:val="0082044E"/>
    <w:rsid w:val="00821C62"/>
    <w:rsid w:val="00827F8F"/>
    <w:rsid w:val="00830EF8"/>
    <w:rsid w:val="00832A4B"/>
    <w:rsid w:val="00835620"/>
    <w:rsid w:val="008362DE"/>
    <w:rsid w:val="00836B4C"/>
    <w:rsid w:val="00840069"/>
    <w:rsid w:val="00841F72"/>
    <w:rsid w:val="008452D9"/>
    <w:rsid w:val="0084585E"/>
    <w:rsid w:val="00851340"/>
    <w:rsid w:val="00856753"/>
    <w:rsid w:val="00857477"/>
    <w:rsid w:val="00862347"/>
    <w:rsid w:val="0086331E"/>
    <w:rsid w:val="0086771B"/>
    <w:rsid w:val="00871E4B"/>
    <w:rsid w:val="00876BAB"/>
    <w:rsid w:val="00877648"/>
    <w:rsid w:val="00881925"/>
    <w:rsid w:val="008841AE"/>
    <w:rsid w:val="00890484"/>
    <w:rsid w:val="008905A9"/>
    <w:rsid w:val="00890973"/>
    <w:rsid w:val="008979CC"/>
    <w:rsid w:val="008A11BD"/>
    <w:rsid w:val="008A4D97"/>
    <w:rsid w:val="008B003B"/>
    <w:rsid w:val="008B3DA3"/>
    <w:rsid w:val="008B5A81"/>
    <w:rsid w:val="008B6D39"/>
    <w:rsid w:val="008C02B4"/>
    <w:rsid w:val="008C3FFE"/>
    <w:rsid w:val="008C410C"/>
    <w:rsid w:val="008D437F"/>
    <w:rsid w:val="008D4FC9"/>
    <w:rsid w:val="008D5093"/>
    <w:rsid w:val="008D5607"/>
    <w:rsid w:val="008D5E9D"/>
    <w:rsid w:val="008E103E"/>
    <w:rsid w:val="008E7077"/>
    <w:rsid w:val="008E7DCF"/>
    <w:rsid w:val="008E7DF1"/>
    <w:rsid w:val="008F00B1"/>
    <w:rsid w:val="008F0651"/>
    <w:rsid w:val="008F5CF0"/>
    <w:rsid w:val="008F78AC"/>
    <w:rsid w:val="009031E1"/>
    <w:rsid w:val="0090357D"/>
    <w:rsid w:val="00903FDD"/>
    <w:rsid w:val="00907620"/>
    <w:rsid w:val="009113D1"/>
    <w:rsid w:val="0091150B"/>
    <w:rsid w:val="009154D7"/>
    <w:rsid w:val="00927D9E"/>
    <w:rsid w:val="0093303E"/>
    <w:rsid w:val="009335BF"/>
    <w:rsid w:val="00933653"/>
    <w:rsid w:val="00937CCF"/>
    <w:rsid w:val="009404CE"/>
    <w:rsid w:val="00940CE1"/>
    <w:rsid w:val="009430F1"/>
    <w:rsid w:val="00944BEC"/>
    <w:rsid w:val="00950F5B"/>
    <w:rsid w:val="009557CB"/>
    <w:rsid w:val="00960369"/>
    <w:rsid w:val="0096201A"/>
    <w:rsid w:val="00970789"/>
    <w:rsid w:val="00972499"/>
    <w:rsid w:val="00973FA2"/>
    <w:rsid w:val="00981F9F"/>
    <w:rsid w:val="00995483"/>
    <w:rsid w:val="009A32B6"/>
    <w:rsid w:val="009A4DB5"/>
    <w:rsid w:val="009B351C"/>
    <w:rsid w:val="009B6703"/>
    <w:rsid w:val="009B729D"/>
    <w:rsid w:val="009C062A"/>
    <w:rsid w:val="009C0D92"/>
    <w:rsid w:val="009C2EB7"/>
    <w:rsid w:val="009C6D21"/>
    <w:rsid w:val="009C7AE1"/>
    <w:rsid w:val="009D1A80"/>
    <w:rsid w:val="009D564F"/>
    <w:rsid w:val="009D5BC3"/>
    <w:rsid w:val="009D6A69"/>
    <w:rsid w:val="009E02D0"/>
    <w:rsid w:val="009E159D"/>
    <w:rsid w:val="009E39B1"/>
    <w:rsid w:val="009E50DD"/>
    <w:rsid w:val="009E518A"/>
    <w:rsid w:val="009F1B9D"/>
    <w:rsid w:val="00A0100B"/>
    <w:rsid w:val="00A032E2"/>
    <w:rsid w:val="00A03CD9"/>
    <w:rsid w:val="00A10CD6"/>
    <w:rsid w:val="00A14BF9"/>
    <w:rsid w:val="00A15FB9"/>
    <w:rsid w:val="00A16A51"/>
    <w:rsid w:val="00A21005"/>
    <w:rsid w:val="00A33412"/>
    <w:rsid w:val="00A41B4F"/>
    <w:rsid w:val="00A47CAC"/>
    <w:rsid w:val="00A47E88"/>
    <w:rsid w:val="00A50523"/>
    <w:rsid w:val="00A55D4B"/>
    <w:rsid w:val="00A623CF"/>
    <w:rsid w:val="00A65379"/>
    <w:rsid w:val="00A66370"/>
    <w:rsid w:val="00A72BDF"/>
    <w:rsid w:val="00A80D4E"/>
    <w:rsid w:val="00A84C54"/>
    <w:rsid w:val="00A932B1"/>
    <w:rsid w:val="00A94511"/>
    <w:rsid w:val="00A96B60"/>
    <w:rsid w:val="00AA063E"/>
    <w:rsid w:val="00AA1C26"/>
    <w:rsid w:val="00AA3A39"/>
    <w:rsid w:val="00AA3ED1"/>
    <w:rsid w:val="00AA5AD2"/>
    <w:rsid w:val="00AA6769"/>
    <w:rsid w:val="00AA7E21"/>
    <w:rsid w:val="00AB076E"/>
    <w:rsid w:val="00AB3765"/>
    <w:rsid w:val="00AC61DB"/>
    <w:rsid w:val="00AC7CC8"/>
    <w:rsid w:val="00AC7FAE"/>
    <w:rsid w:val="00AD1BC2"/>
    <w:rsid w:val="00AD1BD4"/>
    <w:rsid w:val="00AD3954"/>
    <w:rsid w:val="00AD4BA4"/>
    <w:rsid w:val="00AD4EF2"/>
    <w:rsid w:val="00AD74A7"/>
    <w:rsid w:val="00AE14FF"/>
    <w:rsid w:val="00AE1DD3"/>
    <w:rsid w:val="00AE1E03"/>
    <w:rsid w:val="00AF0F96"/>
    <w:rsid w:val="00AF1777"/>
    <w:rsid w:val="00AF3D01"/>
    <w:rsid w:val="00AF6E1D"/>
    <w:rsid w:val="00B028E0"/>
    <w:rsid w:val="00B02E8C"/>
    <w:rsid w:val="00B03E62"/>
    <w:rsid w:val="00B05B99"/>
    <w:rsid w:val="00B06DA5"/>
    <w:rsid w:val="00B13D2E"/>
    <w:rsid w:val="00B213DD"/>
    <w:rsid w:val="00B3463D"/>
    <w:rsid w:val="00B43198"/>
    <w:rsid w:val="00B46011"/>
    <w:rsid w:val="00B52B88"/>
    <w:rsid w:val="00B52C7D"/>
    <w:rsid w:val="00B539C1"/>
    <w:rsid w:val="00B55126"/>
    <w:rsid w:val="00B55258"/>
    <w:rsid w:val="00B55403"/>
    <w:rsid w:val="00B57C4D"/>
    <w:rsid w:val="00B61054"/>
    <w:rsid w:val="00B63A91"/>
    <w:rsid w:val="00B70EC7"/>
    <w:rsid w:val="00B74D2F"/>
    <w:rsid w:val="00B75C1C"/>
    <w:rsid w:val="00B82BC2"/>
    <w:rsid w:val="00B91FED"/>
    <w:rsid w:val="00BA1F77"/>
    <w:rsid w:val="00BA2189"/>
    <w:rsid w:val="00BA4086"/>
    <w:rsid w:val="00BA500D"/>
    <w:rsid w:val="00BA750C"/>
    <w:rsid w:val="00BB14A4"/>
    <w:rsid w:val="00BB1DD4"/>
    <w:rsid w:val="00BB27CE"/>
    <w:rsid w:val="00BB5C38"/>
    <w:rsid w:val="00BC439B"/>
    <w:rsid w:val="00BC5141"/>
    <w:rsid w:val="00BC6F30"/>
    <w:rsid w:val="00BD0103"/>
    <w:rsid w:val="00BD1018"/>
    <w:rsid w:val="00BD2DFE"/>
    <w:rsid w:val="00BD596C"/>
    <w:rsid w:val="00BD5B33"/>
    <w:rsid w:val="00BE0979"/>
    <w:rsid w:val="00BE204D"/>
    <w:rsid w:val="00BE2C84"/>
    <w:rsid w:val="00BE3708"/>
    <w:rsid w:val="00BE3F44"/>
    <w:rsid w:val="00BF27A1"/>
    <w:rsid w:val="00BF40CB"/>
    <w:rsid w:val="00BF48AD"/>
    <w:rsid w:val="00BF6879"/>
    <w:rsid w:val="00C0453D"/>
    <w:rsid w:val="00C07ABA"/>
    <w:rsid w:val="00C07FAE"/>
    <w:rsid w:val="00C11A3B"/>
    <w:rsid w:val="00C21BED"/>
    <w:rsid w:val="00C24BD0"/>
    <w:rsid w:val="00C26F95"/>
    <w:rsid w:val="00C2799E"/>
    <w:rsid w:val="00C30099"/>
    <w:rsid w:val="00C3093E"/>
    <w:rsid w:val="00C3444B"/>
    <w:rsid w:val="00C34756"/>
    <w:rsid w:val="00C40F3E"/>
    <w:rsid w:val="00C42169"/>
    <w:rsid w:val="00C42E4D"/>
    <w:rsid w:val="00C45E70"/>
    <w:rsid w:val="00C50058"/>
    <w:rsid w:val="00C55426"/>
    <w:rsid w:val="00C56774"/>
    <w:rsid w:val="00C7193F"/>
    <w:rsid w:val="00C73962"/>
    <w:rsid w:val="00C80A3A"/>
    <w:rsid w:val="00C82142"/>
    <w:rsid w:val="00C83337"/>
    <w:rsid w:val="00C85880"/>
    <w:rsid w:val="00C85B2C"/>
    <w:rsid w:val="00C93145"/>
    <w:rsid w:val="00C93E3A"/>
    <w:rsid w:val="00C9466F"/>
    <w:rsid w:val="00C96A98"/>
    <w:rsid w:val="00CA3271"/>
    <w:rsid w:val="00CA5607"/>
    <w:rsid w:val="00CA7625"/>
    <w:rsid w:val="00CB2654"/>
    <w:rsid w:val="00CB38B7"/>
    <w:rsid w:val="00CB4466"/>
    <w:rsid w:val="00CC18E9"/>
    <w:rsid w:val="00CC2D08"/>
    <w:rsid w:val="00CC5450"/>
    <w:rsid w:val="00CC6092"/>
    <w:rsid w:val="00CD53A4"/>
    <w:rsid w:val="00CD6238"/>
    <w:rsid w:val="00CE5594"/>
    <w:rsid w:val="00CF0A21"/>
    <w:rsid w:val="00CF4CBD"/>
    <w:rsid w:val="00D00E8B"/>
    <w:rsid w:val="00D016CA"/>
    <w:rsid w:val="00D079F8"/>
    <w:rsid w:val="00D104AF"/>
    <w:rsid w:val="00D15623"/>
    <w:rsid w:val="00D2533C"/>
    <w:rsid w:val="00D31C7B"/>
    <w:rsid w:val="00D35DD6"/>
    <w:rsid w:val="00D37AB1"/>
    <w:rsid w:val="00D422A8"/>
    <w:rsid w:val="00D44530"/>
    <w:rsid w:val="00D51D15"/>
    <w:rsid w:val="00D53223"/>
    <w:rsid w:val="00D553AE"/>
    <w:rsid w:val="00D67E88"/>
    <w:rsid w:val="00D71DDF"/>
    <w:rsid w:val="00D72F11"/>
    <w:rsid w:val="00D82AC3"/>
    <w:rsid w:val="00D861D7"/>
    <w:rsid w:val="00D86D06"/>
    <w:rsid w:val="00D86F8A"/>
    <w:rsid w:val="00D8775D"/>
    <w:rsid w:val="00D935B6"/>
    <w:rsid w:val="00D97909"/>
    <w:rsid w:val="00DA014A"/>
    <w:rsid w:val="00DA1615"/>
    <w:rsid w:val="00DA4F0D"/>
    <w:rsid w:val="00DB3DE5"/>
    <w:rsid w:val="00DB7B10"/>
    <w:rsid w:val="00DC15FB"/>
    <w:rsid w:val="00DC6C16"/>
    <w:rsid w:val="00DC7A03"/>
    <w:rsid w:val="00DD0307"/>
    <w:rsid w:val="00DD188E"/>
    <w:rsid w:val="00DD1ABE"/>
    <w:rsid w:val="00DD2B1E"/>
    <w:rsid w:val="00DD518E"/>
    <w:rsid w:val="00DE411C"/>
    <w:rsid w:val="00DF29AC"/>
    <w:rsid w:val="00DF3298"/>
    <w:rsid w:val="00DF3A43"/>
    <w:rsid w:val="00DF3FD7"/>
    <w:rsid w:val="00DF6306"/>
    <w:rsid w:val="00E075DF"/>
    <w:rsid w:val="00E102D0"/>
    <w:rsid w:val="00E121CB"/>
    <w:rsid w:val="00E17242"/>
    <w:rsid w:val="00E21203"/>
    <w:rsid w:val="00E27909"/>
    <w:rsid w:val="00E306B4"/>
    <w:rsid w:val="00E31154"/>
    <w:rsid w:val="00E31AC5"/>
    <w:rsid w:val="00E40B8D"/>
    <w:rsid w:val="00E46D57"/>
    <w:rsid w:val="00E477A4"/>
    <w:rsid w:val="00E56FF0"/>
    <w:rsid w:val="00E62095"/>
    <w:rsid w:val="00E62F20"/>
    <w:rsid w:val="00E76279"/>
    <w:rsid w:val="00E7735D"/>
    <w:rsid w:val="00E77F6F"/>
    <w:rsid w:val="00E82546"/>
    <w:rsid w:val="00E86CDD"/>
    <w:rsid w:val="00E873C7"/>
    <w:rsid w:val="00E9357C"/>
    <w:rsid w:val="00E94B76"/>
    <w:rsid w:val="00EA0E74"/>
    <w:rsid w:val="00EA6C47"/>
    <w:rsid w:val="00EB07D9"/>
    <w:rsid w:val="00EB28B4"/>
    <w:rsid w:val="00EB5AC0"/>
    <w:rsid w:val="00EB7F23"/>
    <w:rsid w:val="00EC5543"/>
    <w:rsid w:val="00EC61FE"/>
    <w:rsid w:val="00ED1DDC"/>
    <w:rsid w:val="00ED37B4"/>
    <w:rsid w:val="00ED578F"/>
    <w:rsid w:val="00EE3A57"/>
    <w:rsid w:val="00EE405F"/>
    <w:rsid w:val="00EE64D7"/>
    <w:rsid w:val="00EE70B8"/>
    <w:rsid w:val="00EF5CB4"/>
    <w:rsid w:val="00EF6C47"/>
    <w:rsid w:val="00F00AC5"/>
    <w:rsid w:val="00F11308"/>
    <w:rsid w:val="00F13BB4"/>
    <w:rsid w:val="00F17F76"/>
    <w:rsid w:val="00F21DF6"/>
    <w:rsid w:val="00F30A98"/>
    <w:rsid w:val="00F313A3"/>
    <w:rsid w:val="00F32E0D"/>
    <w:rsid w:val="00F339E5"/>
    <w:rsid w:val="00F3722A"/>
    <w:rsid w:val="00F456B6"/>
    <w:rsid w:val="00F47931"/>
    <w:rsid w:val="00F53DD8"/>
    <w:rsid w:val="00F61100"/>
    <w:rsid w:val="00F65E94"/>
    <w:rsid w:val="00F66F5C"/>
    <w:rsid w:val="00F73CED"/>
    <w:rsid w:val="00F80E4D"/>
    <w:rsid w:val="00F83632"/>
    <w:rsid w:val="00F946CF"/>
    <w:rsid w:val="00F949C2"/>
    <w:rsid w:val="00FA0350"/>
    <w:rsid w:val="00FA036C"/>
    <w:rsid w:val="00FA2C58"/>
    <w:rsid w:val="00FA3847"/>
    <w:rsid w:val="00FA5696"/>
    <w:rsid w:val="00FA6D54"/>
    <w:rsid w:val="00FC2B7F"/>
    <w:rsid w:val="00FC4B67"/>
    <w:rsid w:val="00FD21F9"/>
    <w:rsid w:val="00FD2C40"/>
    <w:rsid w:val="00FD553D"/>
    <w:rsid w:val="00FD5D7E"/>
    <w:rsid w:val="00FD72B1"/>
    <w:rsid w:val="00FE0492"/>
    <w:rsid w:val="00FE4B02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76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7764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6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C42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C426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C42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C4263"/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e"/>
    <w:uiPriority w:val="59"/>
    <w:rsid w:val="002104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76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7764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6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C42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C426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C42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C4263"/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e"/>
    <w:uiPriority w:val="59"/>
    <w:rsid w:val="002104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налоговые и неналоговые 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01.10.2012</c:v>
                </c:pt>
                <c:pt idx="1">
                  <c:v>01.10.2013</c:v>
                </c:pt>
                <c:pt idx="2">
                  <c:v>01.10.2014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138.9</c:v>
                </c:pt>
                <c:pt idx="1">
                  <c:v>134.19999999999999</c:v>
                </c:pt>
                <c:pt idx="2">
                  <c:v>123.5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безвозмездные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01.10.2012</c:v>
                </c:pt>
                <c:pt idx="1">
                  <c:v>01.10.2013</c:v>
                </c:pt>
                <c:pt idx="2">
                  <c:v>01.10.2014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322.89999999999998</c:v>
                </c:pt>
                <c:pt idx="1">
                  <c:v>449.6</c:v>
                </c:pt>
                <c:pt idx="2">
                  <c:v>380.6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налоговые и неналоговые 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01.10.2012</c:v>
                </c:pt>
                <c:pt idx="1">
                  <c:v>01.10.2013</c:v>
                </c:pt>
                <c:pt idx="2">
                  <c:v>01.10.2014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90.2</c:v>
                </c:pt>
                <c:pt idx="1">
                  <c:v>96.7</c:v>
                </c:pt>
                <c:pt idx="2">
                  <c:v>92.1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Факт безвозмездные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01.10.2012</c:v>
                </c:pt>
                <c:pt idx="1">
                  <c:v>01.10.2013</c:v>
                </c:pt>
                <c:pt idx="2">
                  <c:v>01.10.2014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248.2</c:v>
                </c:pt>
                <c:pt idx="1">
                  <c:v>283.8</c:v>
                </c:pt>
                <c:pt idx="2">
                  <c:v>252.4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554240"/>
        <c:axId val="100555776"/>
        <c:axId val="0"/>
      </c:bar3DChart>
      <c:catAx>
        <c:axId val="10055424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00555776"/>
        <c:crosses val="autoZero"/>
        <c:auto val="1"/>
        <c:lblAlgn val="ctr"/>
        <c:lblOffset val="100"/>
        <c:noMultiLvlLbl val="0"/>
      </c:catAx>
      <c:valAx>
        <c:axId val="100555776"/>
        <c:scaling>
          <c:orientation val="minMax"/>
          <c:max val="4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554240"/>
        <c:crosses val="autoZero"/>
        <c:crossBetween val="between"/>
        <c:majorUnit val="100"/>
        <c:minorUnit val="10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3756432246998282"/>
          <c:y val="0.24290220820189273"/>
          <c:w val="0.24699828473413379"/>
          <c:h val="0.507886435331230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8280-2146-48A8-B7B6-32DD3133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/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директор</dc:creator>
  <cp:lastModifiedBy>Пользователь</cp:lastModifiedBy>
  <cp:revision>2</cp:revision>
  <cp:lastPrinted>2014-11-14T11:14:00Z</cp:lastPrinted>
  <dcterms:created xsi:type="dcterms:W3CDTF">2014-11-26T11:29:00Z</dcterms:created>
  <dcterms:modified xsi:type="dcterms:W3CDTF">2014-11-26T11:29:00Z</dcterms:modified>
</cp:coreProperties>
</file>