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CB6" w:rsidRPr="00D45E73" w:rsidRDefault="00EE6CB6" w:rsidP="00EE6CB6">
      <w:pPr>
        <w:jc w:val="center"/>
        <w:rPr>
          <w:b/>
          <w:sz w:val="28"/>
          <w:szCs w:val="28"/>
        </w:rPr>
      </w:pPr>
      <w:r w:rsidRPr="00D45E73">
        <w:rPr>
          <w:b/>
          <w:sz w:val="28"/>
          <w:szCs w:val="28"/>
        </w:rPr>
        <w:t>Выступление</w:t>
      </w:r>
    </w:p>
    <w:p w:rsidR="00EE6CB6" w:rsidRPr="00D45E73" w:rsidRDefault="00EE6CB6" w:rsidP="00EE6CB6">
      <w:pPr>
        <w:jc w:val="center"/>
        <w:rPr>
          <w:b/>
          <w:sz w:val="28"/>
          <w:szCs w:val="28"/>
        </w:rPr>
      </w:pPr>
      <w:r w:rsidRPr="00D45E73">
        <w:rPr>
          <w:b/>
          <w:sz w:val="28"/>
          <w:szCs w:val="28"/>
        </w:rPr>
        <w:t xml:space="preserve">по проекту бюджета </w:t>
      </w:r>
      <w:r w:rsidR="00F11064">
        <w:rPr>
          <w:b/>
          <w:sz w:val="28"/>
          <w:szCs w:val="28"/>
        </w:rPr>
        <w:t xml:space="preserve">городского округа Вичуга </w:t>
      </w:r>
    </w:p>
    <w:p w:rsidR="00EE6CB6" w:rsidRPr="001F07E6" w:rsidRDefault="00EE6CB6" w:rsidP="001F07E6">
      <w:pPr>
        <w:jc w:val="center"/>
        <w:rPr>
          <w:sz w:val="28"/>
          <w:szCs w:val="28"/>
        </w:rPr>
      </w:pPr>
      <w:r w:rsidRPr="00D45E73">
        <w:rPr>
          <w:b/>
          <w:sz w:val="28"/>
          <w:szCs w:val="28"/>
        </w:rPr>
        <w:t>на 201</w:t>
      </w:r>
      <w:r w:rsidR="00F11064">
        <w:rPr>
          <w:b/>
          <w:sz w:val="28"/>
          <w:szCs w:val="28"/>
        </w:rPr>
        <w:t>8</w:t>
      </w:r>
      <w:r w:rsidRPr="00D45E73">
        <w:rPr>
          <w:b/>
          <w:sz w:val="28"/>
          <w:szCs w:val="28"/>
        </w:rPr>
        <w:t xml:space="preserve"> год и плановый период 201</w:t>
      </w:r>
      <w:r w:rsidR="00F11064">
        <w:rPr>
          <w:b/>
          <w:sz w:val="28"/>
          <w:szCs w:val="28"/>
        </w:rPr>
        <w:t>9</w:t>
      </w:r>
      <w:r w:rsidRPr="00D45E73">
        <w:rPr>
          <w:b/>
          <w:sz w:val="28"/>
          <w:szCs w:val="28"/>
        </w:rPr>
        <w:t xml:space="preserve"> и 20</w:t>
      </w:r>
      <w:r w:rsidR="00F11064">
        <w:rPr>
          <w:b/>
          <w:sz w:val="28"/>
          <w:szCs w:val="28"/>
        </w:rPr>
        <w:t>20</w:t>
      </w:r>
      <w:r w:rsidRPr="00D45E73">
        <w:rPr>
          <w:b/>
          <w:sz w:val="28"/>
          <w:szCs w:val="28"/>
        </w:rPr>
        <w:t xml:space="preserve"> годов</w:t>
      </w:r>
    </w:p>
    <w:p w:rsidR="00EE6CB6" w:rsidRPr="007B32AE" w:rsidRDefault="00EE6CB6" w:rsidP="009077DC">
      <w:pPr>
        <w:spacing w:before="240"/>
        <w:ind w:firstLine="708"/>
        <w:jc w:val="both"/>
      </w:pPr>
      <w:r w:rsidRPr="007B32AE">
        <w:t xml:space="preserve">В соответствии с Положением о бюджетном процессе </w:t>
      </w:r>
      <w:r w:rsidR="009E3266" w:rsidRPr="007B32AE">
        <w:t xml:space="preserve">в городском округе Вичуга </w:t>
      </w:r>
      <w:r w:rsidRPr="007B32AE">
        <w:t xml:space="preserve">, Контрольно-счетной </w:t>
      </w:r>
      <w:r w:rsidR="009E3266" w:rsidRPr="007B32AE">
        <w:t xml:space="preserve">комиссией городского округа Вичуга </w:t>
      </w:r>
      <w:r w:rsidRPr="007B32AE">
        <w:t xml:space="preserve"> подготовлено заключение на проект бюджета </w:t>
      </w:r>
      <w:r w:rsidR="009E3266" w:rsidRPr="007B32AE">
        <w:t xml:space="preserve">городского округа Вичуга </w:t>
      </w:r>
      <w:r w:rsidRPr="007B32AE">
        <w:t xml:space="preserve"> на 201</w:t>
      </w:r>
      <w:r w:rsidR="009E3266" w:rsidRPr="007B32AE">
        <w:t>8</w:t>
      </w:r>
      <w:r w:rsidRPr="007B32AE">
        <w:t xml:space="preserve"> год и плановый период 201</w:t>
      </w:r>
      <w:r w:rsidR="009E3266" w:rsidRPr="007B32AE">
        <w:t>9</w:t>
      </w:r>
      <w:r w:rsidRPr="007B32AE">
        <w:t xml:space="preserve"> и 20</w:t>
      </w:r>
      <w:r w:rsidR="009E3266" w:rsidRPr="007B32AE">
        <w:t>20</w:t>
      </w:r>
      <w:r w:rsidR="00A45D71" w:rsidRPr="007B32AE">
        <w:t xml:space="preserve"> годов, которое в установленные сроки в полном объеме направлено Председателю городской Думы</w:t>
      </w:r>
      <w:r w:rsidR="009E3266" w:rsidRPr="007B32AE">
        <w:t xml:space="preserve"> городского округа Вичуга </w:t>
      </w:r>
      <w:r w:rsidR="00A45D71" w:rsidRPr="007B32AE">
        <w:t xml:space="preserve"> и Главе </w:t>
      </w:r>
      <w:r w:rsidR="009E3266" w:rsidRPr="007B32AE">
        <w:t>городского округа Вичуга</w:t>
      </w:r>
      <w:r w:rsidR="00A45D71" w:rsidRPr="007B32AE">
        <w:t>. Поэтому в своем выступлении отмечу только наиболее существенные моменты.</w:t>
      </w:r>
    </w:p>
    <w:p w:rsidR="001F07E6" w:rsidRDefault="00EE6CB6" w:rsidP="001F07E6">
      <w:pPr>
        <w:ind w:firstLine="709"/>
        <w:jc w:val="both"/>
      </w:pPr>
      <w:r w:rsidRPr="007B32AE">
        <w:t>Проект бюджета на 201</w:t>
      </w:r>
      <w:r w:rsidR="009E3266" w:rsidRPr="007B32AE">
        <w:t>8</w:t>
      </w:r>
      <w:r w:rsidRPr="007B32AE">
        <w:t xml:space="preserve"> год и плановый период 201</w:t>
      </w:r>
      <w:r w:rsidR="009E3266" w:rsidRPr="007B32AE">
        <w:t>9</w:t>
      </w:r>
      <w:r w:rsidRPr="007B32AE">
        <w:t xml:space="preserve"> и 20</w:t>
      </w:r>
      <w:r w:rsidR="009E3266" w:rsidRPr="007B32AE">
        <w:t>20</w:t>
      </w:r>
      <w:r w:rsidRPr="007B32AE">
        <w:t xml:space="preserve"> годов соответствует Бюджетному кодексу РФ, Положению о бюджетном процессе </w:t>
      </w:r>
      <w:r w:rsidR="009E3266" w:rsidRPr="007B32AE">
        <w:t xml:space="preserve">городского округа Вичуга </w:t>
      </w:r>
      <w:r w:rsidRPr="007B32AE">
        <w:t xml:space="preserve"> и основывается на прогнозе социально-экономического развития</w:t>
      </w:r>
      <w:r w:rsidR="009E3266" w:rsidRPr="007B32AE">
        <w:t xml:space="preserve"> </w:t>
      </w:r>
      <w:r w:rsidR="009077DC">
        <w:t>городского округа Вичуга</w:t>
      </w:r>
      <w:r w:rsidRPr="007B32AE">
        <w:t>, основных направлениях бюджетной политики и основных направлениях налоговой политики</w:t>
      </w:r>
      <w:r w:rsidR="00E51847" w:rsidRPr="007B32AE">
        <w:t xml:space="preserve"> </w:t>
      </w:r>
      <w:r w:rsidRPr="007B32AE">
        <w:t>муниципального образования.</w:t>
      </w:r>
    </w:p>
    <w:p w:rsidR="009E3266" w:rsidRPr="009E3266" w:rsidRDefault="00EE6CB6" w:rsidP="001F07E6">
      <w:pPr>
        <w:ind w:firstLine="709"/>
        <w:jc w:val="both"/>
      </w:pPr>
      <w:r w:rsidRPr="007B32AE">
        <w:t>Анализ Основных направлений бюджетной политики и Основных направлений налоговой политики показал, что в них нашли отражение наиболее значимые вопросы бюджетной и налоговой политики на 201</w:t>
      </w:r>
      <w:r w:rsidR="009E3266" w:rsidRPr="007B32AE">
        <w:t>8</w:t>
      </w:r>
      <w:r w:rsidRPr="007B32AE">
        <w:t xml:space="preserve"> год и на плановый период 201</w:t>
      </w:r>
      <w:r w:rsidR="009E3266" w:rsidRPr="007B32AE">
        <w:t>9</w:t>
      </w:r>
      <w:r w:rsidRPr="007B32AE">
        <w:t xml:space="preserve"> и 20</w:t>
      </w:r>
      <w:r w:rsidR="009E3266" w:rsidRPr="007B32AE">
        <w:t>20</w:t>
      </w:r>
      <w:r w:rsidRPr="007B32AE">
        <w:t xml:space="preserve"> годов, отмеченные на федеральном уровне и на уровне Ивановской области. </w:t>
      </w:r>
    </w:p>
    <w:p w:rsidR="009077DC" w:rsidRDefault="009E3266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7B32AE">
        <w:t>В Основных направлениях</w:t>
      </w:r>
      <w:r w:rsidRPr="007B32AE">
        <w:rPr>
          <w:bCs/>
          <w:iCs/>
          <w:lang w:eastAsia="ru-RU"/>
        </w:rPr>
        <w:t xml:space="preserve"> </w:t>
      </w:r>
      <w:r w:rsidRPr="009E3266">
        <w:rPr>
          <w:bCs/>
          <w:iCs/>
          <w:lang w:eastAsia="ru-RU"/>
        </w:rPr>
        <w:t>сохраняет</w:t>
      </w:r>
      <w:r w:rsidRPr="007B32AE">
        <w:rPr>
          <w:bCs/>
          <w:iCs/>
          <w:lang w:eastAsia="ru-RU"/>
        </w:rPr>
        <w:t xml:space="preserve">ся </w:t>
      </w:r>
      <w:r w:rsidRPr="009E3266">
        <w:rPr>
          <w:bCs/>
          <w:iCs/>
          <w:lang w:eastAsia="ru-RU"/>
        </w:rPr>
        <w:t xml:space="preserve"> преемственность бюджетной политики предыдущего периода и </w:t>
      </w:r>
      <w:r w:rsidRPr="007B32AE">
        <w:rPr>
          <w:bCs/>
          <w:iCs/>
          <w:lang w:eastAsia="ru-RU"/>
        </w:rPr>
        <w:t xml:space="preserve">ориентируется </w:t>
      </w:r>
      <w:r w:rsidRPr="009E3266">
        <w:rPr>
          <w:bCs/>
          <w:iCs/>
          <w:lang w:eastAsia="ru-RU"/>
        </w:rPr>
        <w:t xml:space="preserve"> на исполнение действующих расходных обязательств, недопущение принятия новых расходных обязательств, не обеспеченных доходными источниками городского округа.</w:t>
      </w:r>
      <w:r w:rsidRPr="009E3266">
        <w:rPr>
          <w:b/>
          <w:bCs/>
          <w:lang w:eastAsia="ru-RU"/>
        </w:rPr>
        <w:t xml:space="preserve"> </w:t>
      </w:r>
      <w:r w:rsidRPr="009E3266">
        <w:rPr>
          <w:b/>
          <w:bCs/>
          <w:lang w:eastAsia="ru-RU"/>
        </w:rPr>
        <w:tab/>
      </w:r>
    </w:p>
    <w:p w:rsidR="009E3266" w:rsidRPr="009E3266" w:rsidRDefault="009E3266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lang w:eastAsia="ru-RU"/>
        </w:rPr>
      </w:pPr>
      <w:r w:rsidRPr="009E3266">
        <w:rPr>
          <w:bCs/>
          <w:lang w:eastAsia="ru-RU"/>
        </w:rPr>
        <w:t>Основными целями бюджетной и налоговой политики городского округа Вичуга на 2017 год и плановый период 2018-2019 годов остаются</w:t>
      </w:r>
      <w:r w:rsidRPr="009E3266">
        <w:rPr>
          <w:b/>
          <w:bCs/>
          <w:lang w:eastAsia="ru-RU"/>
        </w:rPr>
        <w:t xml:space="preserve"> </w:t>
      </w:r>
      <w:r w:rsidRPr="009E3266">
        <w:rPr>
          <w:lang w:eastAsia="ru-RU"/>
        </w:rPr>
        <w:t>укрепление собственной доходной базы, совершенствование администрирования доходов и эффективное использование муниципального имущества.</w:t>
      </w:r>
    </w:p>
    <w:p w:rsidR="009E3266" w:rsidRPr="007B32AE" w:rsidRDefault="009E3266" w:rsidP="009077DC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b/>
          <w:bCs/>
          <w:lang w:eastAsia="ru-RU"/>
        </w:rPr>
      </w:pPr>
      <w:r w:rsidRPr="007B32AE">
        <w:rPr>
          <w:b/>
          <w:bCs/>
          <w:lang w:eastAsia="ru-RU"/>
        </w:rPr>
        <w:t>Для достижения указанной цели необходимо</w:t>
      </w:r>
      <w:r w:rsidRPr="009E3266">
        <w:rPr>
          <w:b/>
          <w:bCs/>
          <w:lang w:eastAsia="ru-RU"/>
        </w:rPr>
        <w:t xml:space="preserve"> улучш</w:t>
      </w:r>
      <w:r w:rsidR="00E5761A" w:rsidRPr="007B32AE">
        <w:rPr>
          <w:b/>
          <w:bCs/>
          <w:lang w:eastAsia="ru-RU"/>
        </w:rPr>
        <w:t>ить</w:t>
      </w:r>
      <w:r w:rsidRPr="009E3266">
        <w:rPr>
          <w:b/>
          <w:bCs/>
          <w:lang w:eastAsia="ru-RU"/>
        </w:rPr>
        <w:t xml:space="preserve"> качеств</w:t>
      </w:r>
      <w:r w:rsidR="00E5761A" w:rsidRPr="007B32AE">
        <w:rPr>
          <w:b/>
          <w:bCs/>
          <w:lang w:eastAsia="ru-RU"/>
        </w:rPr>
        <w:t>о</w:t>
      </w:r>
      <w:r w:rsidRPr="009E3266">
        <w:rPr>
          <w:b/>
          <w:bCs/>
          <w:lang w:eastAsia="ru-RU"/>
        </w:rPr>
        <w:t xml:space="preserve"> администрирования главными администраторами  доходов бюджета в целях обеспечения  качественного прогнозирования доходов бюджета и выполнения в полном объеме годовых назначений.</w:t>
      </w:r>
    </w:p>
    <w:p w:rsidR="00942C76" w:rsidRPr="007B32AE" w:rsidRDefault="00231692" w:rsidP="009077DC">
      <w:pPr>
        <w:ind w:firstLine="720"/>
        <w:jc w:val="both"/>
      </w:pPr>
      <w:r w:rsidRPr="007B32AE">
        <w:t xml:space="preserve">Так, с целью пополнения доходной части бюджета </w:t>
      </w:r>
      <w:r w:rsidR="00942C76" w:rsidRPr="007B32AE">
        <w:t xml:space="preserve">городского округа Вичуга необходимо более детально </w:t>
      </w:r>
      <w:r w:rsidRPr="007B32AE">
        <w:t xml:space="preserve"> рассмотр</w:t>
      </w:r>
      <w:r w:rsidR="00942C76" w:rsidRPr="007B32AE">
        <w:t>еть следующие вопросы:</w:t>
      </w:r>
    </w:p>
    <w:p w:rsidR="00942C76" w:rsidRPr="007B32AE" w:rsidRDefault="00942C76" w:rsidP="009077DC">
      <w:pPr>
        <w:widowControl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32AE">
        <w:t xml:space="preserve"> </w:t>
      </w:r>
      <w:r w:rsidR="00231692" w:rsidRPr="007B32AE">
        <w:t xml:space="preserve"> </w:t>
      </w:r>
      <w:r w:rsidRPr="007B32AE">
        <w:rPr>
          <w:lang w:eastAsia="ru-RU"/>
        </w:rPr>
        <w:t xml:space="preserve">-концентрация финансовых ресурсов на приоритетных направлениях расходования бюджетных средств, определенных муниципальными программами городского округа Вичуга; </w:t>
      </w:r>
    </w:p>
    <w:p w:rsidR="00942C76" w:rsidRPr="00942C76" w:rsidRDefault="00942C76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42C76">
        <w:rPr>
          <w:lang w:eastAsia="ru-RU"/>
        </w:rPr>
        <w:t xml:space="preserve">-повышение эффективности процедур проведения закупок для муниципальных нужд; </w:t>
      </w:r>
    </w:p>
    <w:p w:rsidR="00942C76" w:rsidRPr="00942C76" w:rsidRDefault="00942C76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42C76">
        <w:rPr>
          <w:lang w:eastAsia="ru-RU"/>
        </w:rPr>
        <w:t xml:space="preserve">-совершенствование процедур предварительного и последующего контроля;  </w:t>
      </w:r>
    </w:p>
    <w:p w:rsidR="00942C76" w:rsidRPr="00942C76" w:rsidRDefault="00942C76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42C76">
        <w:rPr>
          <w:lang w:eastAsia="ru-RU"/>
        </w:rPr>
        <w:t>-</w:t>
      </w:r>
      <w:r w:rsidRPr="00942C76">
        <w:rPr>
          <w:lang w:eastAsia="en-US"/>
        </w:rPr>
        <w:t>формирование муниципальных заданий на оказание муниципальных услуг (выполнение работ) в соответствии с ведомственным перечнем муниципальных услуг, установленных на основе базовых перечней услуг, утвержденных федеральными органами исполнительной власти, а также усиление контроля и ответственности главных распорядителей бюджетных средств за выполнение муниципальных заданий;</w:t>
      </w:r>
      <w:r w:rsidRPr="00942C76">
        <w:rPr>
          <w:lang w:eastAsia="ru-RU"/>
        </w:rPr>
        <w:t xml:space="preserve">  </w:t>
      </w:r>
    </w:p>
    <w:p w:rsidR="009077DC" w:rsidRDefault="00942C76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942C76">
        <w:rPr>
          <w:lang w:eastAsia="ru-RU"/>
        </w:rPr>
        <w:t xml:space="preserve"> -оптимизация сети муниципальных учреждений городского округа, а также упорядочению осуществления ими приносящей доход  деятельности.</w:t>
      </w:r>
    </w:p>
    <w:p w:rsidR="009077DC" w:rsidRDefault="00231692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32AE">
        <w:t>В целях сокращения нагрузки на бюджет</w:t>
      </w:r>
      <w:r w:rsidR="00942C76" w:rsidRPr="007B32AE">
        <w:rPr>
          <w:lang w:eastAsia="ru-RU"/>
        </w:rPr>
        <w:t xml:space="preserve"> активизировать   работу по повышению эффективности управления муниципальным имуществом и земельными участками, закрепленного за учреждениями на праве оперативного управления, осуществления контроля за использованием муниципального имущества, сданного в аренду, а также переданного в оперативное управление или хозяйственное ведение муниципальным учреждениям и муниципальным предприятиям городского округа Вичуга.  А также  продолжить работу по претензионно-исковой деятельности по взысканию задолженности </w:t>
      </w:r>
      <w:r w:rsidR="00942C76" w:rsidRPr="007B32AE">
        <w:rPr>
          <w:lang w:eastAsia="ru-RU"/>
        </w:rPr>
        <w:lastRenderedPageBreak/>
        <w:t>по неналоговым доходам в бюджет города, своевременного списания безнадежной к взысканию задолженности.</w:t>
      </w:r>
    </w:p>
    <w:p w:rsidR="009077DC" w:rsidRDefault="00FB429B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B32AE">
        <w:rPr>
          <w:lang w:eastAsia="en-US"/>
        </w:rPr>
        <w:t>Решение задачи по обеспечению сбалансированности и устойчивости городского бюджета невозможно без качественного и достоверного прогнозирования параметров основных показателей, на которых базирует</w:t>
      </w:r>
      <w:r w:rsidR="009077DC">
        <w:rPr>
          <w:lang w:eastAsia="en-US"/>
        </w:rPr>
        <w:t>ся составление проекта бюджета.</w:t>
      </w:r>
    </w:p>
    <w:p w:rsidR="009077DC" w:rsidRDefault="00D24EEF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32AE">
        <w:t xml:space="preserve">Нормативно-методическая база прогнозирования показателей социально-экономического развития </w:t>
      </w:r>
      <w:r w:rsidR="00942C76" w:rsidRPr="007B32AE">
        <w:t xml:space="preserve">городского округа Вичуга </w:t>
      </w:r>
      <w:r w:rsidRPr="007B32AE">
        <w:rPr>
          <w:b/>
        </w:rPr>
        <w:t xml:space="preserve">  </w:t>
      </w:r>
      <w:r w:rsidRPr="007B32AE">
        <w:t>на уровне муниципалитета по сравнению с прошлым годом</w:t>
      </w:r>
      <w:r w:rsidR="00942C76" w:rsidRPr="007B32AE">
        <w:t xml:space="preserve"> не </w:t>
      </w:r>
      <w:r w:rsidRPr="007B32AE">
        <w:t xml:space="preserve"> изменилась. </w:t>
      </w:r>
    </w:p>
    <w:p w:rsidR="00D24EEF" w:rsidRPr="007B32AE" w:rsidRDefault="007B32AE" w:rsidP="009077DC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7B32AE">
        <w:t>П</w:t>
      </w:r>
      <w:r w:rsidR="00942C76" w:rsidRPr="007B32AE">
        <w:t xml:space="preserve">остановлением администрации  городского округа Вичуга от 27.11.2014 </w:t>
      </w:r>
      <w:r w:rsidR="00942C76" w:rsidRPr="007B32AE">
        <w:rPr>
          <w:rFonts w:eastAsia="Segoe UI Symbol"/>
        </w:rPr>
        <w:t>№</w:t>
      </w:r>
      <w:r w:rsidR="008909AB">
        <w:rPr>
          <w:rFonts w:eastAsia="Segoe UI Symbol"/>
        </w:rPr>
        <w:t xml:space="preserve"> 1600</w:t>
      </w:r>
      <w:bookmarkStart w:id="0" w:name="_GoBack"/>
      <w:bookmarkEnd w:id="0"/>
      <w:r w:rsidR="00942C76" w:rsidRPr="007B32AE">
        <w:t xml:space="preserve"> «Об утверждении порядка разработки прогнозов социально – экономического развития городского округа Вичуга» </w:t>
      </w:r>
      <w:r w:rsidR="00D24EEF" w:rsidRPr="007B32AE">
        <w:t xml:space="preserve">утвержден </w:t>
      </w:r>
      <w:r w:rsidR="00942C76" w:rsidRPr="007B32AE">
        <w:t xml:space="preserve"> </w:t>
      </w:r>
      <w:r w:rsidR="00D24EEF" w:rsidRPr="007B32AE">
        <w:t xml:space="preserve">Перечень показателей прогноза социально-экономического развития </w:t>
      </w:r>
      <w:r w:rsidRPr="007B32AE">
        <w:t>городского округа Вичуга</w:t>
      </w:r>
      <w:r w:rsidR="00D24EEF" w:rsidRPr="007B32AE">
        <w:t xml:space="preserve">, при этом  общее количество показателей прогноза </w:t>
      </w:r>
      <w:r w:rsidRPr="007B32AE">
        <w:t>не позволяет в полном объеме сделать его  анализ</w:t>
      </w:r>
      <w:r w:rsidR="00D24EEF" w:rsidRPr="007B32AE">
        <w:t xml:space="preserve">. Так, при разработке Прогноза на предстоящий трехлетний период не учитывались показатели, </w:t>
      </w:r>
      <w:r w:rsidR="00A83801" w:rsidRPr="007B32AE">
        <w:t xml:space="preserve">например, </w:t>
      </w:r>
      <w:r w:rsidR="00D24EEF" w:rsidRPr="007B32AE">
        <w:t>характеризующие общий размер и структуру денежных доходов населения.</w:t>
      </w:r>
    </w:p>
    <w:p w:rsidR="009077DC" w:rsidRDefault="007B32AE" w:rsidP="009077DC">
      <w:pPr>
        <w:suppressAutoHyphens w:val="0"/>
        <w:ind w:firstLine="708"/>
        <w:jc w:val="both"/>
        <w:rPr>
          <w:color w:val="000000"/>
          <w:lang w:eastAsia="ru-RU"/>
        </w:rPr>
      </w:pPr>
      <w:r w:rsidRPr="007B32AE">
        <w:rPr>
          <w:color w:val="000000"/>
          <w:lang w:eastAsia="ru-RU"/>
        </w:rPr>
        <w:t>При  анализе сопоставления  основных параметров прогноза социально-экономического развития  городского округа Вичуга с  показателями прогноза</w:t>
      </w:r>
      <w:r w:rsidRPr="007B32AE">
        <w:rPr>
          <w:lang w:eastAsia="ru-RU"/>
        </w:rPr>
        <w:t xml:space="preserve"> социально-экономического развития   </w:t>
      </w:r>
      <w:r w:rsidRPr="007B32AE">
        <w:rPr>
          <w:color w:val="000000"/>
          <w:lang w:eastAsia="ru-RU"/>
        </w:rPr>
        <w:t xml:space="preserve">Ивановской области на 2018-2020 год   и  прогноза социально-экономического развития Российской Федерации на 2018-2020 год, установлено, что </w:t>
      </w:r>
      <w:r w:rsidRPr="007B32AE">
        <w:rPr>
          <w:lang w:eastAsia="ru-RU"/>
        </w:rPr>
        <w:t>прогноз социально-экономического</w:t>
      </w:r>
      <w:r w:rsidRPr="007B32AE">
        <w:rPr>
          <w:color w:val="000000"/>
          <w:lang w:eastAsia="ru-RU"/>
        </w:rPr>
        <w:t xml:space="preserve"> развития городского округа Вичуга на 2018-2020 год излишне оптимистичен, а именно темп роста показателя «Индекс промышленного производства»,  «Оборот розничной торговли », «Объем платных услуг в 2019 и 2020 годах», «Инвестиции в 2018 и 2019 годах» превышает показатели  по Российской Федерации и по Ивановской области.    </w:t>
      </w:r>
    </w:p>
    <w:p w:rsidR="00EE6CB6" w:rsidRPr="009077DC" w:rsidRDefault="00EE6CB6" w:rsidP="009077DC">
      <w:pPr>
        <w:suppressAutoHyphens w:val="0"/>
        <w:ind w:firstLine="708"/>
        <w:jc w:val="both"/>
        <w:rPr>
          <w:color w:val="000000"/>
          <w:lang w:eastAsia="ru-RU"/>
        </w:rPr>
      </w:pPr>
      <w:r w:rsidRPr="007B32AE">
        <w:t xml:space="preserve">В Прогнозе СЭР </w:t>
      </w:r>
      <w:r w:rsidR="007B32AE" w:rsidRPr="007B32AE">
        <w:t xml:space="preserve">не </w:t>
      </w:r>
      <w:r w:rsidRPr="007B32AE">
        <w:t xml:space="preserve"> уделено внимание рискам, связанным со снижением поступлений по основным доходам бюджета города</w:t>
      </w:r>
      <w:r w:rsidR="008262D0" w:rsidRPr="007B32AE">
        <w:t xml:space="preserve">. </w:t>
      </w:r>
      <w:r w:rsidRPr="007B32AE">
        <w:t>В этом случае целесообразно разработать вариант снижения расходов.</w:t>
      </w:r>
    </w:p>
    <w:p w:rsidR="008262D0" w:rsidRPr="007B32AE" w:rsidRDefault="007B32AE" w:rsidP="009077DC">
      <w:pPr>
        <w:suppressAutoHyphens w:val="0"/>
        <w:jc w:val="both"/>
        <w:rPr>
          <w:b/>
          <w:color w:val="000000"/>
          <w:lang w:eastAsia="ru-RU"/>
        </w:rPr>
      </w:pPr>
      <w:r w:rsidRPr="007B32AE">
        <w:rPr>
          <w:b/>
          <w:color w:val="000000"/>
          <w:lang w:eastAsia="ru-RU"/>
        </w:rPr>
        <w:tab/>
        <w:t xml:space="preserve">Контрольно-счетная комиссия отмечает, что высокий риск не достижения прогнозных показателей влечет за собой риск несбалансированности бюджета городского округа Вичуга, возникновения кассовых разрывов при исполнении бюджета и невозможность удержания внутреннего муниципального долга в допустимых пределах. </w:t>
      </w:r>
    </w:p>
    <w:p w:rsidR="00E2290F" w:rsidRPr="00E2290F" w:rsidRDefault="00E2290F" w:rsidP="00E2290F">
      <w:pPr>
        <w:jc w:val="both"/>
        <w:rPr>
          <w:lang w:eastAsia="ru-RU"/>
        </w:rPr>
      </w:pPr>
      <w:r>
        <w:rPr>
          <w:sz w:val="28"/>
          <w:szCs w:val="28"/>
        </w:rPr>
        <w:tab/>
      </w:r>
      <w:r w:rsidR="008262D0" w:rsidRPr="001F07E6">
        <w:t xml:space="preserve">В рамках анализа общих </w:t>
      </w:r>
      <w:r w:rsidR="001F07E6">
        <w:t xml:space="preserve"> </w:t>
      </w:r>
      <w:r w:rsidR="008262D0" w:rsidRPr="001F07E6">
        <w:t xml:space="preserve">характеристик проекта бюджета </w:t>
      </w:r>
      <w:r w:rsidR="009077DC" w:rsidRPr="001F07E6">
        <w:t>городского округа Вичуга</w:t>
      </w:r>
      <w:r w:rsidR="008262D0" w:rsidRPr="001F07E6">
        <w:t xml:space="preserve"> на 201</w:t>
      </w:r>
      <w:r w:rsidR="009077DC" w:rsidRPr="001F07E6">
        <w:t>8</w:t>
      </w:r>
      <w:r w:rsidR="008262D0" w:rsidRPr="001F07E6">
        <w:t xml:space="preserve"> год и плановый период 201</w:t>
      </w:r>
      <w:r w:rsidR="009077DC" w:rsidRPr="001F07E6">
        <w:t>9</w:t>
      </w:r>
      <w:r w:rsidR="008262D0" w:rsidRPr="001F07E6">
        <w:t xml:space="preserve"> и 20</w:t>
      </w:r>
      <w:r w:rsidR="009077DC" w:rsidRPr="001F07E6">
        <w:t>20</w:t>
      </w:r>
      <w:r w:rsidR="008262D0" w:rsidRPr="001F07E6">
        <w:t xml:space="preserve"> годов установлено, что в 201</w:t>
      </w:r>
      <w:r w:rsidR="009077DC" w:rsidRPr="001F07E6">
        <w:t>8</w:t>
      </w:r>
      <w:r w:rsidR="008262D0" w:rsidRPr="001F07E6">
        <w:t xml:space="preserve"> году </w:t>
      </w:r>
      <w:r w:rsidRPr="001F07E6">
        <w:t>доходность бюджета городского округа  в</w:t>
      </w:r>
      <w:r w:rsidRPr="005C19BA">
        <w:t xml:space="preserve"> </w:t>
      </w:r>
      <w:r>
        <w:t xml:space="preserve">прогнозируемом периоде </w:t>
      </w:r>
      <w:r w:rsidRPr="005C19BA">
        <w:t xml:space="preserve"> </w:t>
      </w:r>
      <w:r>
        <w:t xml:space="preserve">отражается увеличением </w:t>
      </w:r>
      <w:r w:rsidRPr="005C19BA">
        <w:t xml:space="preserve"> показателей доходов</w:t>
      </w:r>
      <w:r>
        <w:t xml:space="preserve"> к 2017году на 179 991 900.0 руб и снижением доходов к 2020году.</w:t>
      </w:r>
      <w:r w:rsidRPr="00E2290F">
        <w:rPr>
          <w:lang w:eastAsia="ru-RU"/>
        </w:rPr>
        <w:t xml:space="preserve"> Основным источником пополнения бюджета являются</w:t>
      </w:r>
      <w:r>
        <w:t xml:space="preserve"> </w:t>
      </w:r>
      <w:r>
        <w:rPr>
          <w:lang w:eastAsia="ru-RU"/>
        </w:rPr>
        <w:t>у</w:t>
      </w:r>
      <w:r w:rsidRPr="00E2290F">
        <w:rPr>
          <w:lang w:eastAsia="ru-RU"/>
        </w:rPr>
        <w:t xml:space="preserve">величение поступления налоговых доходов бюджета городского округа Вичуга </w:t>
      </w:r>
      <w:r>
        <w:rPr>
          <w:lang w:eastAsia="ru-RU"/>
        </w:rPr>
        <w:t xml:space="preserve"> и </w:t>
      </w:r>
      <w:r w:rsidRPr="00E2290F">
        <w:rPr>
          <w:lang w:eastAsia="ru-RU"/>
        </w:rPr>
        <w:t>безвозмездные поступления, доля которых в общем объеме доходов в 2018 году составит  – 81,33%, в 2019 году –75,1%, в 2020 году – 69,4%.</w:t>
      </w:r>
    </w:p>
    <w:p w:rsidR="00E2290F" w:rsidRDefault="00E2290F" w:rsidP="001F07E6">
      <w:pPr>
        <w:tabs>
          <w:tab w:val="left" w:pos="285"/>
        </w:tabs>
        <w:suppressAutoHyphens w:val="0"/>
        <w:ind w:firstLine="708"/>
        <w:jc w:val="both"/>
        <w:rPr>
          <w:bCs/>
          <w:lang w:eastAsia="ru-RU"/>
        </w:rPr>
      </w:pPr>
      <w:r w:rsidRPr="00E2290F">
        <w:rPr>
          <w:bCs/>
          <w:lang w:eastAsia="ru-RU"/>
        </w:rPr>
        <w:t xml:space="preserve">  По отношению к показателям ожидаемого исполнения за 2017 год (472 044,1тыс. руб.) </w:t>
      </w:r>
      <w:r>
        <w:rPr>
          <w:bCs/>
          <w:lang w:eastAsia="ru-RU"/>
        </w:rPr>
        <w:t xml:space="preserve"> </w:t>
      </w:r>
      <w:r w:rsidRPr="00E2290F">
        <w:rPr>
          <w:bCs/>
          <w:lang w:eastAsia="ru-RU"/>
        </w:rPr>
        <w:t xml:space="preserve">на 2018год наблюдается увеличение безвозмездных поступлений за счет увеличения субсидии бюджетам субъектов РФ и  муниципальных образований (межбюджетные субсидии). </w:t>
      </w:r>
    </w:p>
    <w:p w:rsidR="001F07E6" w:rsidRPr="001F07E6" w:rsidRDefault="001F07E6" w:rsidP="001F07E6">
      <w:pPr>
        <w:tabs>
          <w:tab w:val="left" w:pos="285"/>
        </w:tabs>
        <w:suppressAutoHyphens w:val="0"/>
        <w:ind w:firstLine="708"/>
        <w:jc w:val="both"/>
        <w:rPr>
          <w:bCs/>
          <w:lang w:eastAsia="ru-RU"/>
        </w:rPr>
      </w:pPr>
    </w:p>
    <w:p w:rsidR="00897184" w:rsidRDefault="00897184" w:rsidP="00897184">
      <w:pPr>
        <w:suppressAutoHyphens w:val="0"/>
        <w:ind w:firstLine="708"/>
        <w:jc w:val="both"/>
        <w:rPr>
          <w:lang w:eastAsia="ru-RU"/>
        </w:rPr>
      </w:pPr>
      <w:r w:rsidRPr="00897184">
        <w:rPr>
          <w:b/>
          <w:lang w:eastAsia="ru-RU"/>
        </w:rPr>
        <w:t>Анализ структуры расходов бюджета городского округа Вичуга на 2018-2020 годы, показал, что по отношению к  планируемым расходам за 2017 год, отмечается повышение показателей расходов в  2018 году и понижение в плановом периоде 2019 и 2020 годов.</w:t>
      </w:r>
      <w:r w:rsidRPr="00897184">
        <w:rPr>
          <w:lang w:eastAsia="ru-RU"/>
        </w:rPr>
        <w:t xml:space="preserve"> </w:t>
      </w:r>
    </w:p>
    <w:p w:rsidR="00897184" w:rsidRPr="00897184" w:rsidRDefault="00897184" w:rsidP="00897184">
      <w:pPr>
        <w:suppressAutoHyphens w:val="0"/>
        <w:ind w:firstLine="708"/>
        <w:jc w:val="both"/>
        <w:rPr>
          <w:rFonts w:eastAsia="Calibri"/>
          <w:lang w:eastAsia="en-US"/>
        </w:rPr>
      </w:pPr>
      <w:r w:rsidRPr="00897184">
        <w:rPr>
          <w:rFonts w:eastAsia="Calibri"/>
          <w:lang w:eastAsia="en-US"/>
        </w:rPr>
        <w:t>Сокращение бюджетных ассигнований на 201</w:t>
      </w:r>
      <w:r>
        <w:rPr>
          <w:rFonts w:eastAsia="Calibri"/>
          <w:lang w:eastAsia="en-US"/>
        </w:rPr>
        <w:t>9</w:t>
      </w:r>
      <w:r w:rsidRPr="00897184">
        <w:rPr>
          <w:rFonts w:eastAsia="Calibri"/>
          <w:lang w:eastAsia="en-US"/>
        </w:rPr>
        <w:t xml:space="preserve">-2020 годы происходит в рамках проводимых мероприятий по оптимизации бюджетных расходов в целях обеспечения сбалансированности бюджета городского округа Вичуга, а также не запланированы на </w:t>
      </w:r>
      <w:r w:rsidRPr="00897184">
        <w:rPr>
          <w:rFonts w:eastAsia="Calibri"/>
          <w:lang w:eastAsia="en-US"/>
        </w:rPr>
        <w:lastRenderedPageBreak/>
        <w:t>2019 и 2020 годы межбюджетные трансферты, ввиду отсутствия данных по ним в момент составления проекта бюджета городского округа Вичуга на 2018 год и на плановый период 2019 и 2020 годов.</w:t>
      </w:r>
    </w:p>
    <w:p w:rsidR="00EE6CB6" w:rsidRPr="00FB5C5F" w:rsidRDefault="004F4821" w:rsidP="00EE6CB6">
      <w:pPr>
        <w:spacing w:line="276" w:lineRule="auto"/>
        <w:ind w:firstLine="709"/>
        <w:jc w:val="both"/>
        <w:rPr>
          <w:b/>
        </w:rPr>
      </w:pPr>
      <w:r w:rsidRPr="00FB5C5F">
        <w:rPr>
          <w:b/>
        </w:rPr>
        <w:t xml:space="preserve">Расходная часть </w:t>
      </w:r>
      <w:r w:rsidR="00EE6CB6" w:rsidRPr="00FB5C5F">
        <w:rPr>
          <w:b/>
        </w:rPr>
        <w:t>бюджет</w:t>
      </w:r>
      <w:r w:rsidRPr="00FB5C5F">
        <w:rPr>
          <w:b/>
        </w:rPr>
        <w:t>а</w:t>
      </w:r>
      <w:r w:rsidR="00EE6CB6" w:rsidRPr="00FB5C5F">
        <w:rPr>
          <w:b/>
        </w:rPr>
        <w:t xml:space="preserve"> города </w:t>
      </w:r>
      <w:r w:rsidRPr="00FB5C5F">
        <w:rPr>
          <w:b/>
        </w:rPr>
        <w:t>с</w:t>
      </w:r>
      <w:r w:rsidR="00EE6CB6" w:rsidRPr="00FB5C5F">
        <w:rPr>
          <w:b/>
        </w:rPr>
        <w:t>формир</w:t>
      </w:r>
      <w:r w:rsidRPr="00FB5C5F">
        <w:rPr>
          <w:b/>
        </w:rPr>
        <w:t>ована</w:t>
      </w:r>
      <w:r w:rsidR="00EE6CB6" w:rsidRPr="00FB5C5F">
        <w:rPr>
          <w:b/>
        </w:rPr>
        <w:t xml:space="preserve"> по программному принципу.</w:t>
      </w:r>
    </w:p>
    <w:p w:rsidR="00897184" w:rsidRPr="00897184" w:rsidRDefault="00897184" w:rsidP="00897184">
      <w:pPr>
        <w:suppressAutoHyphens w:val="0"/>
        <w:ind w:firstLine="708"/>
        <w:jc w:val="both"/>
        <w:rPr>
          <w:lang w:eastAsia="ru-RU"/>
        </w:rPr>
      </w:pPr>
      <w:r w:rsidRPr="00897184">
        <w:rPr>
          <w:lang w:eastAsia="ru-RU"/>
        </w:rPr>
        <w:t xml:space="preserve">Планирование </w:t>
      </w:r>
      <w:r w:rsidR="001F07E6">
        <w:rPr>
          <w:lang w:eastAsia="ru-RU"/>
        </w:rPr>
        <w:t xml:space="preserve">муниципальных программ </w:t>
      </w:r>
      <w:r w:rsidRPr="00897184">
        <w:rPr>
          <w:lang w:eastAsia="ru-RU"/>
        </w:rPr>
        <w:t>2019-2020гг. остается на уровне 2018 года, за исключением муниципальной программы</w:t>
      </w:r>
      <w:r w:rsidRPr="00897184">
        <w:rPr>
          <w:color w:val="000000"/>
          <w:lang w:eastAsia="ru-RU"/>
        </w:rPr>
        <w:t xml:space="preserve"> «Обеспечение доступным комфортным жильем, объектами инженерной инфраструктуры и   услугами жилищно-коммунального хозяйства населения г.о. Вичуга»</w:t>
      </w:r>
      <w:r w:rsidRPr="00897184">
        <w:rPr>
          <w:lang w:eastAsia="ru-RU"/>
        </w:rPr>
        <w:t xml:space="preserve"> и</w:t>
      </w:r>
      <w:r w:rsidRPr="00897184">
        <w:rPr>
          <w:color w:val="000000"/>
          <w:lang w:eastAsia="ru-RU"/>
        </w:rPr>
        <w:t xml:space="preserve"> «Экономическое развитие и инновационная экономика г.о. Вичуга».</w:t>
      </w:r>
      <w:r w:rsidRPr="00897184">
        <w:rPr>
          <w:lang w:eastAsia="ru-RU"/>
        </w:rPr>
        <w:t xml:space="preserve">  Проектом бюджета на 2018 год предполагается увеличение  ассигнований на реализацию муниципальных программ на сумму 24 940474.82 тыс. рублей относительно 2017 года. </w:t>
      </w:r>
    </w:p>
    <w:p w:rsidR="00897184" w:rsidRPr="00897184" w:rsidRDefault="00897184" w:rsidP="00897184">
      <w:pPr>
        <w:suppressAutoHyphens w:val="0"/>
        <w:ind w:firstLine="708"/>
        <w:jc w:val="both"/>
        <w:rPr>
          <w:lang w:eastAsia="ru-RU"/>
        </w:rPr>
      </w:pPr>
      <w:r w:rsidRPr="00897184">
        <w:rPr>
          <w:lang w:eastAsia="ru-RU"/>
        </w:rPr>
        <w:t>На плановый период 2019-2020гг. уменьшаются ассигнования на реализацию муниципальных программ по сравнению с 201</w:t>
      </w:r>
      <w:r w:rsidR="001F07E6">
        <w:rPr>
          <w:lang w:eastAsia="ru-RU"/>
        </w:rPr>
        <w:t>8</w:t>
      </w:r>
      <w:r w:rsidRPr="00897184">
        <w:rPr>
          <w:lang w:eastAsia="ru-RU"/>
        </w:rPr>
        <w:t xml:space="preserve"> годом на 157 381 990.70 тыс. рублей в 2019 году и 226 286 213.70 тыс.руб в 2020 году соответственно, в процентном отношении это снижение составит 25,3% и 36,4%.</w:t>
      </w:r>
      <w:r w:rsidR="001F07E6">
        <w:rPr>
          <w:lang w:eastAsia="ru-RU"/>
        </w:rPr>
        <w:t xml:space="preserve"> </w:t>
      </w:r>
      <w:r w:rsidRPr="00897184">
        <w:rPr>
          <w:lang w:eastAsia="ru-RU"/>
        </w:rPr>
        <w:t>Объясняется это не включенными в план 2019-2020 гг. суммами межбюджетных трансфертов.</w:t>
      </w:r>
    </w:p>
    <w:p w:rsidR="00897184" w:rsidRPr="00897184" w:rsidRDefault="00897184" w:rsidP="00897184">
      <w:pPr>
        <w:ind w:firstLine="708"/>
        <w:jc w:val="both"/>
        <w:rPr>
          <w:lang w:eastAsia="ru-RU"/>
        </w:rPr>
      </w:pPr>
      <w:r w:rsidRPr="00897184">
        <w:rPr>
          <w:lang w:eastAsia="ru-RU"/>
        </w:rPr>
        <w:t xml:space="preserve">При сопоставлении данных утвержденных программ и проекта бюджета установлены расхождения объемов финансирования по 13 муниципальным программам из 14. </w:t>
      </w:r>
    </w:p>
    <w:p w:rsidR="00897184" w:rsidRPr="00897184" w:rsidRDefault="00897184" w:rsidP="00897184">
      <w:pPr>
        <w:ind w:firstLine="709"/>
        <w:jc w:val="both"/>
        <w:rPr>
          <w:lang w:eastAsia="ru-RU"/>
        </w:rPr>
      </w:pPr>
      <w:r w:rsidRPr="00897184">
        <w:rPr>
          <w:lang w:eastAsia="ru-RU"/>
        </w:rPr>
        <w:t xml:space="preserve">По мнению Контрольно-счетной комиссии по результатам экспертизы представленного пакета документов Проекта решения  </w:t>
      </w:r>
      <w:r w:rsidRPr="00897184">
        <w:rPr>
          <w:b/>
          <w:lang w:eastAsia="ru-RU"/>
        </w:rPr>
        <w:t xml:space="preserve">«О бюджете городского округа Вичуга на 2018 год и на плановый период 2019 и 2020 годов» </w:t>
      </w:r>
      <w:r w:rsidRPr="00897184">
        <w:rPr>
          <w:lang w:eastAsia="ru-RU"/>
        </w:rPr>
        <w:t>отмечается,</w:t>
      </w:r>
      <w:r w:rsidRPr="00897184">
        <w:rPr>
          <w:b/>
          <w:lang w:eastAsia="ru-RU"/>
        </w:rPr>
        <w:t xml:space="preserve"> </w:t>
      </w:r>
      <w:r w:rsidRPr="00897184">
        <w:rPr>
          <w:lang w:eastAsia="ru-RU"/>
        </w:rPr>
        <w:t xml:space="preserve">что основой разработки системы мероприятий муниципальных программ является не программно-целевой, а в большей степени отраслевой принцип планирования. Сохраняются неопределенность целей и задач муниципальных программ, формальный подход к оценке рисков достижения поставленных целевых индикаторов. </w:t>
      </w:r>
    </w:p>
    <w:p w:rsidR="00897184" w:rsidRPr="00897184" w:rsidRDefault="00897184" w:rsidP="00897184">
      <w:pPr>
        <w:widowControl w:val="0"/>
        <w:ind w:firstLine="709"/>
        <w:jc w:val="both"/>
        <w:rPr>
          <w:lang w:eastAsia="ru-RU"/>
        </w:rPr>
      </w:pPr>
      <w:r w:rsidRPr="00897184">
        <w:rPr>
          <w:lang w:eastAsia="ru-RU"/>
        </w:rPr>
        <w:t xml:space="preserve">Также остается на недостаточном уровне качество финансово-экономического обоснования принимаемых обязательств. </w:t>
      </w:r>
    </w:p>
    <w:p w:rsidR="00897184" w:rsidRPr="00FB5C5F" w:rsidRDefault="00897184" w:rsidP="00FB5C5F">
      <w:pPr>
        <w:widowControl w:val="0"/>
        <w:tabs>
          <w:tab w:val="left" w:pos="284"/>
        </w:tabs>
        <w:ind w:firstLine="709"/>
        <w:jc w:val="both"/>
        <w:rPr>
          <w:lang w:eastAsia="ru-RU"/>
        </w:rPr>
      </w:pPr>
      <w:r w:rsidRPr="00897184">
        <w:rPr>
          <w:lang w:eastAsia="ru-RU"/>
        </w:rPr>
        <w:t>Возникают риски не</w:t>
      </w:r>
      <w:r w:rsidR="00195E85">
        <w:rPr>
          <w:lang w:eastAsia="ru-RU"/>
        </w:rPr>
        <w:t xml:space="preserve"> </w:t>
      </w:r>
      <w:r w:rsidRPr="00897184">
        <w:rPr>
          <w:lang w:eastAsia="ru-RU"/>
        </w:rPr>
        <w:t>достижения целей, невыполнения задач, неэффективного использования бюджетных средств, что обусловлено недостаточностью проработки вопросов ресурсного обеспечения реализуемых мероприятий с учетом принципов стратегического планирования.</w:t>
      </w:r>
    </w:p>
    <w:p w:rsidR="00EE6CB6" w:rsidRPr="00FB5C5F" w:rsidRDefault="00EE6CB6" w:rsidP="00EE6CB6">
      <w:pPr>
        <w:spacing w:line="276" w:lineRule="auto"/>
        <w:ind w:firstLine="709"/>
        <w:jc w:val="both"/>
        <w:rPr>
          <w:b/>
          <w:bCs/>
        </w:rPr>
      </w:pPr>
      <w:r w:rsidRPr="00FB5C5F">
        <w:t>Таким образом, КС</w:t>
      </w:r>
      <w:r w:rsidR="001F07E6" w:rsidRPr="00FB5C5F">
        <w:t>К</w:t>
      </w:r>
      <w:r w:rsidRPr="00FB5C5F">
        <w:t xml:space="preserve"> отмечает </w:t>
      </w:r>
      <w:r w:rsidRPr="00FB5C5F">
        <w:rPr>
          <w:b/>
          <w:bCs/>
        </w:rPr>
        <w:t>следующие наиболее важные вопросы:</w:t>
      </w:r>
    </w:p>
    <w:p w:rsidR="00545C32" w:rsidRPr="001F07E6" w:rsidRDefault="00EE6CB6" w:rsidP="00FB5C5F">
      <w:pPr>
        <w:ind w:firstLine="709"/>
        <w:jc w:val="both"/>
      </w:pPr>
      <w:r w:rsidRPr="001F07E6">
        <w:rPr>
          <w:b/>
          <w:bCs/>
        </w:rPr>
        <w:t>Во-первых,</w:t>
      </w:r>
      <w:r w:rsidRPr="001F07E6">
        <w:t xml:space="preserve"> уже сейчас целесообразно определить виды расходов,</w:t>
      </w:r>
      <w:r w:rsidR="00545C32" w:rsidRPr="001F07E6">
        <w:t xml:space="preserve"> которые могут быть сокращены или исключены при сокращении поступлений доходов при неблагоприятном </w:t>
      </w:r>
      <w:r w:rsidR="00DE1402" w:rsidRPr="001F07E6">
        <w:t>развитии экономики.</w:t>
      </w:r>
    </w:p>
    <w:p w:rsidR="00947863" w:rsidRPr="001F07E6" w:rsidRDefault="00EE6CB6" w:rsidP="00FB5C5F">
      <w:pPr>
        <w:autoSpaceDE w:val="0"/>
        <w:ind w:firstLine="709"/>
        <w:jc w:val="both"/>
      </w:pPr>
      <w:r w:rsidRPr="001F07E6">
        <w:rPr>
          <w:b/>
        </w:rPr>
        <w:t>В</w:t>
      </w:r>
      <w:r w:rsidR="00545C32" w:rsidRPr="001F07E6">
        <w:rPr>
          <w:b/>
        </w:rPr>
        <w:t>о</w:t>
      </w:r>
      <w:r w:rsidRPr="001F07E6">
        <w:rPr>
          <w:b/>
        </w:rPr>
        <w:t>-</w:t>
      </w:r>
      <w:r w:rsidR="00545C32" w:rsidRPr="001F07E6">
        <w:rPr>
          <w:b/>
        </w:rPr>
        <w:t>вторых</w:t>
      </w:r>
      <w:r w:rsidRPr="001F07E6">
        <w:t xml:space="preserve">, </w:t>
      </w:r>
      <w:r w:rsidR="00545C32" w:rsidRPr="001F07E6">
        <w:t>продолжается практика  планирования бюджетных ассигнований на основе муниципальных программ, муниципальные программы выступают инструментом повышения эффективности бюджетных расходов.</w:t>
      </w:r>
      <w:r w:rsidRPr="001F07E6">
        <w:t xml:space="preserve"> </w:t>
      </w:r>
      <w:r w:rsidRPr="001F07E6">
        <w:rPr>
          <w:rFonts w:eastAsia="Calibri"/>
        </w:rPr>
        <w:t>Экспертиза проектов муниципальных программ установила,</w:t>
      </w:r>
      <w:r w:rsidR="00DE1402" w:rsidRPr="001F07E6">
        <w:t xml:space="preserve"> </w:t>
      </w:r>
      <w:r w:rsidR="00DE1402" w:rsidRPr="001F07E6">
        <w:rPr>
          <w:rFonts w:eastAsia="Calibri"/>
        </w:rPr>
        <w:t xml:space="preserve">что основой разработки </w:t>
      </w:r>
      <w:r w:rsidR="00DE1402" w:rsidRPr="001F07E6">
        <w:rPr>
          <w:rFonts w:eastAsia="Calibri"/>
          <w:bCs/>
        </w:rPr>
        <w:t>системы мероприятий муниципальных программ</w:t>
      </w:r>
      <w:r w:rsidR="00DE1402" w:rsidRPr="001F07E6">
        <w:rPr>
          <w:rFonts w:eastAsia="Calibri"/>
        </w:rPr>
        <w:t xml:space="preserve"> является не программно-целевой, а в большей степени отраслевой принцип планирования.</w:t>
      </w:r>
      <w:r w:rsidR="00DE1402" w:rsidRPr="001F07E6">
        <w:t xml:space="preserve"> Сохраняются неопределенность целей и задач муниципальных программ, формальный подход к оценке рисков достижения поставленных целевых индикаторов. </w:t>
      </w:r>
      <w:r w:rsidR="00947863" w:rsidRPr="001F07E6">
        <w:t>Отмечаем недостаточное привлечение внебюджетных источников, применение механизмов муниципально-частного партнерства для достижения целей программ, что позволило б</w:t>
      </w:r>
      <w:r w:rsidR="00FB5C5F">
        <w:t>ы сократить бюджетные расход</w:t>
      </w:r>
    </w:p>
    <w:p w:rsidR="00EE6CB6" w:rsidRPr="00FB5C5F" w:rsidRDefault="00EE6CB6" w:rsidP="00EE6CB6">
      <w:pPr>
        <w:spacing w:line="276" w:lineRule="auto"/>
        <w:ind w:firstLine="705"/>
        <w:jc w:val="both"/>
        <w:rPr>
          <w:b/>
        </w:rPr>
      </w:pPr>
      <w:r w:rsidRPr="00FB5C5F">
        <w:rPr>
          <w:b/>
        </w:rPr>
        <w:t>С учетом вышеизложенного, предлагаем:</w:t>
      </w:r>
    </w:p>
    <w:p w:rsidR="00EE6CB6" w:rsidRPr="001F07E6" w:rsidRDefault="00EE6CB6" w:rsidP="00EE6CB6">
      <w:pPr>
        <w:spacing w:line="276" w:lineRule="auto"/>
        <w:ind w:firstLine="705"/>
        <w:jc w:val="both"/>
      </w:pPr>
      <w:r w:rsidRPr="001F07E6">
        <w:t xml:space="preserve">- городской Думе </w:t>
      </w:r>
      <w:r w:rsidR="001F07E6" w:rsidRPr="001F07E6">
        <w:t>городского округа Вичуга</w:t>
      </w:r>
      <w:r w:rsidRPr="001F07E6">
        <w:t xml:space="preserve"> принять проект бюджета на 201</w:t>
      </w:r>
      <w:r w:rsidR="001F07E6" w:rsidRPr="001F07E6">
        <w:t>8</w:t>
      </w:r>
      <w:r w:rsidRPr="001F07E6">
        <w:t xml:space="preserve"> год и плановый период 201</w:t>
      </w:r>
      <w:r w:rsidR="001F07E6" w:rsidRPr="001F07E6">
        <w:t>9</w:t>
      </w:r>
      <w:r w:rsidRPr="001F07E6">
        <w:t xml:space="preserve"> и 20</w:t>
      </w:r>
      <w:r w:rsidR="001F07E6" w:rsidRPr="001F07E6">
        <w:t>20</w:t>
      </w:r>
      <w:r w:rsidRPr="001F07E6">
        <w:t xml:space="preserve"> годов;</w:t>
      </w:r>
    </w:p>
    <w:p w:rsidR="00EE6CB6" w:rsidRDefault="00EE6CB6" w:rsidP="00EE6CB6">
      <w:pPr>
        <w:spacing w:line="276" w:lineRule="auto"/>
        <w:ind w:firstLine="705"/>
        <w:jc w:val="both"/>
      </w:pPr>
      <w:r w:rsidRPr="001F07E6">
        <w:t xml:space="preserve">- Администрации </w:t>
      </w:r>
      <w:r w:rsidR="001F07E6" w:rsidRPr="001F07E6">
        <w:t xml:space="preserve">городского округа  Вичуга </w:t>
      </w:r>
      <w:r w:rsidRPr="001F07E6">
        <w:t xml:space="preserve"> провести работу по реализации предложений КС</w:t>
      </w:r>
      <w:r w:rsidR="001F07E6" w:rsidRPr="001F07E6">
        <w:t>К</w:t>
      </w:r>
      <w:r w:rsidRPr="001F07E6">
        <w:t>.</w:t>
      </w:r>
    </w:p>
    <w:sectPr w:rsidR="00EE6CB6" w:rsidSect="00FB5C5F">
      <w:headerReference w:type="default" r:id="rId8"/>
      <w:pgSz w:w="11906" w:h="16838"/>
      <w:pgMar w:top="567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49" w:rsidRDefault="005E0849">
      <w:r>
        <w:separator/>
      </w:r>
    </w:p>
  </w:endnote>
  <w:endnote w:type="continuationSeparator" w:id="0">
    <w:p w:rsidR="005E0849" w:rsidRDefault="005E0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49" w:rsidRDefault="005E0849">
      <w:r>
        <w:separator/>
      </w:r>
    </w:p>
  </w:footnote>
  <w:footnote w:type="continuationSeparator" w:id="0">
    <w:p w:rsidR="005E0849" w:rsidRDefault="005E08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70" w:rsidRDefault="002B498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909AB">
      <w:rPr>
        <w:noProof/>
      </w:rPr>
      <w:t>2</w:t>
    </w:r>
    <w:r>
      <w:fldChar w:fldCharType="end"/>
    </w:r>
  </w:p>
  <w:p w:rsidR="00CE0770" w:rsidRDefault="008909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B6"/>
    <w:rsid w:val="000028CD"/>
    <w:rsid w:val="00007D6A"/>
    <w:rsid w:val="00032A44"/>
    <w:rsid w:val="0004096C"/>
    <w:rsid w:val="00057DDE"/>
    <w:rsid w:val="00065B92"/>
    <w:rsid w:val="00083D5C"/>
    <w:rsid w:val="000973A0"/>
    <w:rsid w:val="000A2B49"/>
    <w:rsid w:val="000B1D7D"/>
    <w:rsid w:val="000C4C00"/>
    <w:rsid w:val="000F1E17"/>
    <w:rsid w:val="000F7BF0"/>
    <w:rsid w:val="00103937"/>
    <w:rsid w:val="001341BF"/>
    <w:rsid w:val="0014022D"/>
    <w:rsid w:val="001447A6"/>
    <w:rsid w:val="001525CC"/>
    <w:rsid w:val="00155FB8"/>
    <w:rsid w:val="0017309A"/>
    <w:rsid w:val="00175919"/>
    <w:rsid w:val="00175F57"/>
    <w:rsid w:val="00195E85"/>
    <w:rsid w:val="001B649B"/>
    <w:rsid w:val="001C43E6"/>
    <w:rsid w:val="001E5079"/>
    <w:rsid w:val="001E57F5"/>
    <w:rsid w:val="001F07E6"/>
    <w:rsid w:val="001F59FC"/>
    <w:rsid w:val="001F6044"/>
    <w:rsid w:val="00201D80"/>
    <w:rsid w:val="00201F4A"/>
    <w:rsid w:val="00205939"/>
    <w:rsid w:val="00205D32"/>
    <w:rsid w:val="00206294"/>
    <w:rsid w:val="00206DFE"/>
    <w:rsid w:val="00231692"/>
    <w:rsid w:val="002365A1"/>
    <w:rsid w:val="00237F87"/>
    <w:rsid w:val="002409F5"/>
    <w:rsid w:val="00241AD2"/>
    <w:rsid w:val="0025052B"/>
    <w:rsid w:val="00250751"/>
    <w:rsid w:val="00254110"/>
    <w:rsid w:val="00262C77"/>
    <w:rsid w:val="00265BF6"/>
    <w:rsid w:val="002670B3"/>
    <w:rsid w:val="00272291"/>
    <w:rsid w:val="002B498C"/>
    <w:rsid w:val="002D0307"/>
    <w:rsid w:val="002D7B66"/>
    <w:rsid w:val="002E1112"/>
    <w:rsid w:val="002E7E2D"/>
    <w:rsid w:val="002F06ED"/>
    <w:rsid w:val="003116E1"/>
    <w:rsid w:val="0031768A"/>
    <w:rsid w:val="00327129"/>
    <w:rsid w:val="00327D5D"/>
    <w:rsid w:val="0033398A"/>
    <w:rsid w:val="00343AF6"/>
    <w:rsid w:val="003475EB"/>
    <w:rsid w:val="00364197"/>
    <w:rsid w:val="00364D9D"/>
    <w:rsid w:val="00366C14"/>
    <w:rsid w:val="003673C0"/>
    <w:rsid w:val="003734E2"/>
    <w:rsid w:val="003739C5"/>
    <w:rsid w:val="003847D5"/>
    <w:rsid w:val="00384FD3"/>
    <w:rsid w:val="00385AB7"/>
    <w:rsid w:val="003B4551"/>
    <w:rsid w:val="003B47E0"/>
    <w:rsid w:val="003B6684"/>
    <w:rsid w:val="003C2082"/>
    <w:rsid w:val="003D19F7"/>
    <w:rsid w:val="003D2282"/>
    <w:rsid w:val="003E5AEC"/>
    <w:rsid w:val="00406D3E"/>
    <w:rsid w:val="00412A67"/>
    <w:rsid w:val="004156CA"/>
    <w:rsid w:val="00424FEB"/>
    <w:rsid w:val="00435842"/>
    <w:rsid w:val="00444E50"/>
    <w:rsid w:val="0045078C"/>
    <w:rsid w:val="00456C74"/>
    <w:rsid w:val="00466B9C"/>
    <w:rsid w:val="00473DB3"/>
    <w:rsid w:val="0047598A"/>
    <w:rsid w:val="00480398"/>
    <w:rsid w:val="0049189A"/>
    <w:rsid w:val="00493E12"/>
    <w:rsid w:val="004A6357"/>
    <w:rsid w:val="004B732B"/>
    <w:rsid w:val="004C5D8A"/>
    <w:rsid w:val="004D6EB8"/>
    <w:rsid w:val="004E2A33"/>
    <w:rsid w:val="004F4821"/>
    <w:rsid w:val="00506469"/>
    <w:rsid w:val="00527FDB"/>
    <w:rsid w:val="00545C32"/>
    <w:rsid w:val="0055459F"/>
    <w:rsid w:val="00556B19"/>
    <w:rsid w:val="00565099"/>
    <w:rsid w:val="00573708"/>
    <w:rsid w:val="005879D7"/>
    <w:rsid w:val="0059062E"/>
    <w:rsid w:val="005A7B8B"/>
    <w:rsid w:val="005B03E2"/>
    <w:rsid w:val="005B3245"/>
    <w:rsid w:val="005C41CF"/>
    <w:rsid w:val="005E07D5"/>
    <w:rsid w:val="005E0849"/>
    <w:rsid w:val="005E0CD5"/>
    <w:rsid w:val="005F2049"/>
    <w:rsid w:val="00616891"/>
    <w:rsid w:val="00632B92"/>
    <w:rsid w:val="00636FD1"/>
    <w:rsid w:val="006501C7"/>
    <w:rsid w:val="00654A48"/>
    <w:rsid w:val="0066207B"/>
    <w:rsid w:val="006639B3"/>
    <w:rsid w:val="00687BF6"/>
    <w:rsid w:val="0069446A"/>
    <w:rsid w:val="006C31BC"/>
    <w:rsid w:val="006C4594"/>
    <w:rsid w:val="006D64C2"/>
    <w:rsid w:val="006F45DD"/>
    <w:rsid w:val="00710D11"/>
    <w:rsid w:val="00721285"/>
    <w:rsid w:val="00730204"/>
    <w:rsid w:val="007341CF"/>
    <w:rsid w:val="007353C1"/>
    <w:rsid w:val="0075425D"/>
    <w:rsid w:val="0075797A"/>
    <w:rsid w:val="007631CC"/>
    <w:rsid w:val="0077019E"/>
    <w:rsid w:val="00782D96"/>
    <w:rsid w:val="007877A0"/>
    <w:rsid w:val="00793617"/>
    <w:rsid w:val="007A2B77"/>
    <w:rsid w:val="007A37B2"/>
    <w:rsid w:val="007A43FA"/>
    <w:rsid w:val="007A4598"/>
    <w:rsid w:val="007B32AE"/>
    <w:rsid w:val="007B5E85"/>
    <w:rsid w:val="007C2592"/>
    <w:rsid w:val="007D557C"/>
    <w:rsid w:val="007F2B53"/>
    <w:rsid w:val="0080249D"/>
    <w:rsid w:val="0081105C"/>
    <w:rsid w:val="0081266D"/>
    <w:rsid w:val="008146A4"/>
    <w:rsid w:val="008262D0"/>
    <w:rsid w:val="00843B8D"/>
    <w:rsid w:val="008616D4"/>
    <w:rsid w:val="008617E5"/>
    <w:rsid w:val="008647ED"/>
    <w:rsid w:val="008679B0"/>
    <w:rsid w:val="0087465D"/>
    <w:rsid w:val="00887943"/>
    <w:rsid w:val="008909AB"/>
    <w:rsid w:val="00897184"/>
    <w:rsid w:val="008A0D31"/>
    <w:rsid w:val="008A5063"/>
    <w:rsid w:val="008B28C9"/>
    <w:rsid w:val="008B31A1"/>
    <w:rsid w:val="008E190D"/>
    <w:rsid w:val="008E429E"/>
    <w:rsid w:val="008E50D6"/>
    <w:rsid w:val="009031BD"/>
    <w:rsid w:val="0090392D"/>
    <w:rsid w:val="009077DC"/>
    <w:rsid w:val="00913DCE"/>
    <w:rsid w:val="0093437F"/>
    <w:rsid w:val="009348E6"/>
    <w:rsid w:val="00937D44"/>
    <w:rsid w:val="00937F52"/>
    <w:rsid w:val="00940CE8"/>
    <w:rsid w:val="00942C76"/>
    <w:rsid w:val="00945B9C"/>
    <w:rsid w:val="00947863"/>
    <w:rsid w:val="0095231A"/>
    <w:rsid w:val="0096315B"/>
    <w:rsid w:val="00970314"/>
    <w:rsid w:val="00975343"/>
    <w:rsid w:val="00977B91"/>
    <w:rsid w:val="00983AB3"/>
    <w:rsid w:val="009902F5"/>
    <w:rsid w:val="0099051D"/>
    <w:rsid w:val="00992D95"/>
    <w:rsid w:val="009A1E6D"/>
    <w:rsid w:val="009A6768"/>
    <w:rsid w:val="009D3823"/>
    <w:rsid w:val="009E3266"/>
    <w:rsid w:val="009E4C0C"/>
    <w:rsid w:val="009F2837"/>
    <w:rsid w:val="00A00D56"/>
    <w:rsid w:val="00A13E5C"/>
    <w:rsid w:val="00A23DC7"/>
    <w:rsid w:val="00A32285"/>
    <w:rsid w:val="00A360EF"/>
    <w:rsid w:val="00A41C28"/>
    <w:rsid w:val="00A45D71"/>
    <w:rsid w:val="00A5663A"/>
    <w:rsid w:val="00A60EAD"/>
    <w:rsid w:val="00A6369E"/>
    <w:rsid w:val="00A7139A"/>
    <w:rsid w:val="00A76B68"/>
    <w:rsid w:val="00A83801"/>
    <w:rsid w:val="00A90806"/>
    <w:rsid w:val="00A93578"/>
    <w:rsid w:val="00A939A8"/>
    <w:rsid w:val="00AA3524"/>
    <w:rsid w:val="00AB2869"/>
    <w:rsid w:val="00AC1CE8"/>
    <w:rsid w:val="00AE630F"/>
    <w:rsid w:val="00AE6E95"/>
    <w:rsid w:val="00AF1DE1"/>
    <w:rsid w:val="00B14068"/>
    <w:rsid w:val="00B14168"/>
    <w:rsid w:val="00B31901"/>
    <w:rsid w:val="00B46F6F"/>
    <w:rsid w:val="00B641D2"/>
    <w:rsid w:val="00B656DC"/>
    <w:rsid w:val="00B714E8"/>
    <w:rsid w:val="00B756D2"/>
    <w:rsid w:val="00B84D8E"/>
    <w:rsid w:val="00B975CD"/>
    <w:rsid w:val="00BA3B23"/>
    <w:rsid w:val="00BA4168"/>
    <w:rsid w:val="00BB4A13"/>
    <w:rsid w:val="00BD3206"/>
    <w:rsid w:val="00BD7F20"/>
    <w:rsid w:val="00BE63FF"/>
    <w:rsid w:val="00BF0010"/>
    <w:rsid w:val="00BF3F2C"/>
    <w:rsid w:val="00BF56BE"/>
    <w:rsid w:val="00BF6339"/>
    <w:rsid w:val="00C004EE"/>
    <w:rsid w:val="00C310B5"/>
    <w:rsid w:val="00C32327"/>
    <w:rsid w:val="00C366DC"/>
    <w:rsid w:val="00C43394"/>
    <w:rsid w:val="00C64A2A"/>
    <w:rsid w:val="00C653AC"/>
    <w:rsid w:val="00C7269A"/>
    <w:rsid w:val="00C72D8E"/>
    <w:rsid w:val="00C75B1F"/>
    <w:rsid w:val="00C764D5"/>
    <w:rsid w:val="00C80E8C"/>
    <w:rsid w:val="00C947C7"/>
    <w:rsid w:val="00C9604B"/>
    <w:rsid w:val="00CA1DD9"/>
    <w:rsid w:val="00CB3111"/>
    <w:rsid w:val="00CB3900"/>
    <w:rsid w:val="00CC1040"/>
    <w:rsid w:val="00CD7316"/>
    <w:rsid w:val="00CD7A80"/>
    <w:rsid w:val="00CF172E"/>
    <w:rsid w:val="00CF412E"/>
    <w:rsid w:val="00D04B2A"/>
    <w:rsid w:val="00D057FB"/>
    <w:rsid w:val="00D21C82"/>
    <w:rsid w:val="00D24EEF"/>
    <w:rsid w:val="00D30EAA"/>
    <w:rsid w:val="00D30F13"/>
    <w:rsid w:val="00D32D4A"/>
    <w:rsid w:val="00D6250F"/>
    <w:rsid w:val="00D62CE8"/>
    <w:rsid w:val="00D70823"/>
    <w:rsid w:val="00D73272"/>
    <w:rsid w:val="00D73D01"/>
    <w:rsid w:val="00D86FD3"/>
    <w:rsid w:val="00D87694"/>
    <w:rsid w:val="00D912D0"/>
    <w:rsid w:val="00D95461"/>
    <w:rsid w:val="00DB0082"/>
    <w:rsid w:val="00DB6DEF"/>
    <w:rsid w:val="00DB7673"/>
    <w:rsid w:val="00DD1750"/>
    <w:rsid w:val="00DE1402"/>
    <w:rsid w:val="00DE69A1"/>
    <w:rsid w:val="00E13460"/>
    <w:rsid w:val="00E2290F"/>
    <w:rsid w:val="00E3023A"/>
    <w:rsid w:val="00E3758F"/>
    <w:rsid w:val="00E42A95"/>
    <w:rsid w:val="00E51847"/>
    <w:rsid w:val="00E5761A"/>
    <w:rsid w:val="00E71F7C"/>
    <w:rsid w:val="00E729CB"/>
    <w:rsid w:val="00E800A8"/>
    <w:rsid w:val="00E829C4"/>
    <w:rsid w:val="00E83B94"/>
    <w:rsid w:val="00E83CC9"/>
    <w:rsid w:val="00E91052"/>
    <w:rsid w:val="00EA342E"/>
    <w:rsid w:val="00EB0E77"/>
    <w:rsid w:val="00EB182F"/>
    <w:rsid w:val="00ED4F50"/>
    <w:rsid w:val="00EE3470"/>
    <w:rsid w:val="00EE6CB6"/>
    <w:rsid w:val="00F11064"/>
    <w:rsid w:val="00F16F78"/>
    <w:rsid w:val="00F22401"/>
    <w:rsid w:val="00F452EA"/>
    <w:rsid w:val="00F51E69"/>
    <w:rsid w:val="00F6023F"/>
    <w:rsid w:val="00F67B8D"/>
    <w:rsid w:val="00F8277B"/>
    <w:rsid w:val="00F92E56"/>
    <w:rsid w:val="00F963C0"/>
    <w:rsid w:val="00FA045C"/>
    <w:rsid w:val="00FB1BFF"/>
    <w:rsid w:val="00FB429B"/>
    <w:rsid w:val="00FB5C5F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CB6"/>
    <w:rPr>
      <w:sz w:val="24"/>
      <w:szCs w:val="24"/>
      <w:lang w:eastAsia="ar-SA"/>
    </w:rPr>
  </w:style>
  <w:style w:type="paragraph" w:customStyle="1" w:styleId="10">
    <w:name w:val="10"/>
    <w:basedOn w:val="a"/>
    <w:uiPriority w:val="99"/>
    <w:rsid w:val="00EE6CB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rmal">
    <w:name w:val="ConsPlusNormal"/>
    <w:rsid w:val="00480398"/>
    <w:pPr>
      <w:widowControl w:val="0"/>
      <w:autoSpaceDE w:val="0"/>
      <w:autoSpaceDN w:val="0"/>
    </w:pPr>
    <w:rPr>
      <w:sz w:val="24"/>
    </w:rPr>
  </w:style>
  <w:style w:type="paragraph" w:customStyle="1" w:styleId="Style6">
    <w:name w:val="Style6"/>
    <w:basedOn w:val="a"/>
    <w:uiPriority w:val="99"/>
    <w:rsid w:val="00636FD1"/>
    <w:pPr>
      <w:widowControl w:val="0"/>
      <w:suppressAutoHyphens w:val="0"/>
      <w:autoSpaceDE w:val="0"/>
      <w:autoSpaceDN w:val="0"/>
      <w:adjustRightInd w:val="0"/>
      <w:spacing w:line="270" w:lineRule="exact"/>
      <w:ind w:firstLine="781"/>
      <w:jc w:val="both"/>
    </w:pPr>
    <w:rPr>
      <w:lang w:eastAsia="ru-RU"/>
    </w:rPr>
  </w:style>
  <w:style w:type="paragraph" w:customStyle="1" w:styleId="Default">
    <w:name w:val="Default"/>
    <w:uiPriority w:val="99"/>
    <w:rsid w:val="00D24E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6CB6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CB6"/>
    <w:rPr>
      <w:sz w:val="24"/>
      <w:szCs w:val="24"/>
      <w:lang w:eastAsia="ar-SA"/>
    </w:rPr>
  </w:style>
  <w:style w:type="paragraph" w:customStyle="1" w:styleId="10">
    <w:name w:val="10"/>
    <w:basedOn w:val="a"/>
    <w:uiPriority w:val="99"/>
    <w:rsid w:val="00EE6CB6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Normal">
    <w:name w:val="ConsPlusNormal"/>
    <w:rsid w:val="00480398"/>
    <w:pPr>
      <w:widowControl w:val="0"/>
      <w:autoSpaceDE w:val="0"/>
      <w:autoSpaceDN w:val="0"/>
    </w:pPr>
    <w:rPr>
      <w:sz w:val="24"/>
    </w:rPr>
  </w:style>
  <w:style w:type="paragraph" w:customStyle="1" w:styleId="Style6">
    <w:name w:val="Style6"/>
    <w:basedOn w:val="a"/>
    <w:uiPriority w:val="99"/>
    <w:rsid w:val="00636FD1"/>
    <w:pPr>
      <w:widowControl w:val="0"/>
      <w:suppressAutoHyphens w:val="0"/>
      <w:autoSpaceDE w:val="0"/>
      <w:autoSpaceDN w:val="0"/>
      <w:adjustRightInd w:val="0"/>
      <w:spacing w:line="270" w:lineRule="exact"/>
      <w:ind w:firstLine="781"/>
      <w:jc w:val="both"/>
    </w:pPr>
    <w:rPr>
      <w:lang w:eastAsia="ru-RU"/>
    </w:rPr>
  </w:style>
  <w:style w:type="paragraph" w:customStyle="1" w:styleId="Default">
    <w:name w:val="Default"/>
    <w:uiPriority w:val="99"/>
    <w:rsid w:val="00D24EE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1FA3B-C4AD-4B2F-BE6A-61AC0204A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2017-11-30T12:34:00Z</dcterms:created>
  <dcterms:modified xsi:type="dcterms:W3CDTF">2017-12-08T07:03:00Z</dcterms:modified>
</cp:coreProperties>
</file>