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28" w:rsidRDefault="00E528AA" w:rsidP="00ED5F2A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787FB6" wp14:editId="27C825BC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28" w:rsidRDefault="00E528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AF3628" w:rsidRDefault="00E528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AF3628" w:rsidRDefault="00E528AA" w:rsidP="00E528AA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AF3628" w:rsidRDefault="00E528AA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AF3628" w:rsidRDefault="00E528AA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AF3628" w:rsidRDefault="00E528AA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AF3628" w:rsidRDefault="00E528AA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       </w:t>
      </w:r>
    </w:p>
    <w:p w:rsidR="00AF3628" w:rsidRDefault="00E528AA">
      <w:pPr>
        <w:rPr>
          <w:b/>
        </w:rPr>
      </w:pPr>
      <w:r>
        <w:rPr>
          <w:b/>
        </w:rPr>
        <w:t>20.04.202</w:t>
      </w:r>
      <w:r w:rsidRPr="00ED5F2A">
        <w:rPr>
          <w:b/>
        </w:rPr>
        <w:t>2</w:t>
      </w:r>
      <w:r>
        <w:rPr>
          <w:b/>
        </w:rPr>
        <w:t>г.</w:t>
      </w:r>
    </w:p>
    <w:p w:rsidR="00AF3628" w:rsidRDefault="00E528AA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bookmarkStart w:id="0" w:name="_GoBack"/>
      <w:r>
        <w:rPr>
          <w:b/>
          <w:sz w:val="28"/>
          <w:szCs w:val="20"/>
          <w:lang w:eastAsia="ru-RU"/>
        </w:rPr>
        <w:t>ЗАКЛЮЧЕНИЕ</w:t>
      </w:r>
    </w:p>
    <w:p w:rsidR="00AF3628" w:rsidRPr="004A623B" w:rsidRDefault="00E528AA">
      <w:pPr>
        <w:jc w:val="center"/>
        <w:rPr>
          <w:b/>
        </w:rPr>
      </w:pPr>
      <w:r w:rsidRPr="004A623B">
        <w:rPr>
          <w:b/>
        </w:rPr>
        <w:t xml:space="preserve">на  проект  решения  городской  Думы городского округа Вичуга </w:t>
      </w:r>
    </w:p>
    <w:p w:rsidR="00AF3628" w:rsidRPr="004A623B" w:rsidRDefault="00E528AA">
      <w:pPr>
        <w:jc w:val="center"/>
        <w:rPr>
          <w:b/>
        </w:rPr>
      </w:pPr>
      <w:r w:rsidRPr="004A623B">
        <w:rPr>
          <w:b/>
        </w:rPr>
        <w:t xml:space="preserve">№ 15 «О внесении изменений в решение </w:t>
      </w:r>
      <w:proofErr w:type="gramStart"/>
      <w:r w:rsidRPr="004A623B">
        <w:rPr>
          <w:b/>
        </w:rPr>
        <w:t>городской</w:t>
      </w:r>
      <w:proofErr w:type="gramEnd"/>
      <w:r w:rsidRPr="004A623B">
        <w:rPr>
          <w:b/>
        </w:rPr>
        <w:t xml:space="preserve"> </w:t>
      </w:r>
    </w:p>
    <w:p w:rsidR="00AF3628" w:rsidRPr="004A623B" w:rsidRDefault="00E528AA">
      <w:pPr>
        <w:jc w:val="center"/>
        <w:rPr>
          <w:b/>
        </w:rPr>
      </w:pPr>
      <w:r w:rsidRPr="004A623B">
        <w:rPr>
          <w:b/>
        </w:rPr>
        <w:t xml:space="preserve">Думы городского округа Вичуга от 23.12.2021г. № «О бюджете городского </w:t>
      </w:r>
    </w:p>
    <w:p w:rsidR="00AF3628" w:rsidRPr="004A623B" w:rsidRDefault="00E528AA">
      <w:pPr>
        <w:jc w:val="center"/>
        <w:rPr>
          <w:b/>
        </w:rPr>
      </w:pPr>
      <w:r w:rsidRPr="004A623B">
        <w:rPr>
          <w:b/>
        </w:rPr>
        <w:t>округа Вичуга на 2022 год и на плановый период 2023 и 2024 годов»</w:t>
      </w:r>
    </w:p>
    <w:bookmarkEnd w:id="0"/>
    <w:p w:rsidR="00AF3628" w:rsidRPr="004A623B" w:rsidRDefault="00AF3628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AF3628" w:rsidRDefault="00E528AA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контрольно-счетной комиссии городского округа Вичуга. </w:t>
      </w:r>
    </w:p>
    <w:p w:rsidR="00AF3628" w:rsidRDefault="00E528AA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</w:t>
      </w:r>
      <w:proofErr w:type="gramStart"/>
      <w:r>
        <w:rPr>
          <w:lang w:eastAsia="ru-RU"/>
        </w:rPr>
        <w:t xml:space="preserve">рассмотрев представленный проект </w:t>
      </w:r>
      <w:r>
        <w:t>Решения  городской  Думы городского округа Вичуга № 15  «О</w:t>
      </w:r>
      <w:proofErr w:type="gramEnd"/>
      <w:r>
        <w:t xml:space="preserve"> внесении   изменений  в  решение  городской  Думы  городского  округа Вичуга от 2</w:t>
      </w:r>
      <w:r w:rsidRPr="00ED5F2A">
        <w:t>3</w:t>
      </w:r>
      <w:r>
        <w:t>.12.202</w:t>
      </w:r>
      <w:r w:rsidRPr="00ED5F2A">
        <w:t>1</w:t>
      </w:r>
      <w:r>
        <w:t>г. №  «О бюджете городского округа Вичуга на 202</w:t>
      </w:r>
      <w:r w:rsidRPr="00ED5F2A">
        <w:t>2</w:t>
      </w:r>
      <w:r>
        <w:t xml:space="preserve"> год и на плановый период 202</w:t>
      </w:r>
      <w:r w:rsidRPr="00ED5F2A">
        <w:t>3</w:t>
      </w:r>
      <w:r>
        <w:t xml:space="preserve"> и 202</w:t>
      </w:r>
      <w:r w:rsidRPr="00ED5F2A">
        <w:t>4</w:t>
      </w:r>
      <w:r>
        <w:t xml:space="preserve"> </w:t>
      </w:r>
      <w:proofErr w:type="spellStart"/>
      <w:r>
        <w:t>г.г</w:t>
      </w:r>
      <w:proofErr w:type="spellEnd"/>
      <w:r>
        <w:t>., сообщает следующее.</w:t>
      </w:r>
    </w:p>
    <w:p w:rsidR="00AF3628" w:rsidRDefault="00E528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ED5F2A">
        <w:rPr>
          <w:b/>
          <w:bCs/>
          <w:lang w:eastAsia="ru-RU"/>
        </w:rPr>
        <w:t>2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AF3628">
        <w:tc>
          <w:tcPr>
            <w:tcW w:w="1198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 xml:space="preserve"> от 2</w:t>
            </w:r>
            <w:r>
              <w:rPr>
                <w:b/>
                <w:sz w:val="20"/>
                <w:szCs w:val="20"/>
                <w:lang w:val="en-US" w:eastAsia="ru-RU"/>
              </w:rPr>
              <w:t>7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01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639 865 797.11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142 512 586,35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497 353 210,76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644 092 147.13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-4 226 350.02</w:t>
            </w: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15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788 694 124,12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142 901 819,22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645 792 304,90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792 920 474,14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-4 226 350,02</w:t>
            </w: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+148 828 327,01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23,26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+389 232,87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>+0,27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 xml:space="preserve"> 148 439 094,14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29,85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148 828 327,01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23,11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-----</w:t>
            </w:r>
          </w:p>
        </w:tc>
        <w:tc>
          <w:tcPr>
            <w:tcW w:w="1500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</w:t>
            </w:r>
          </w:p>
        </w:tc>
      </w:tr>
      <w:tr w:rsidR="00AF3628">
        <w:tc>
          <w:tcPr>
            <w:tcW w:w="1198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500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AF3628" w:rsidRDefault="00E528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Как видно из таблицы, проектом решения в 202</w:t>
      </w:r>
      <w:r w:rsidRPr="00ED5F2A">
        <w:rPr>
          <w:lang w:eastAsia="ru-RU"/>
        </w:rPr>
        <w:t>2</w:t>
      </w:r>
      <w:r>
        <w:rPr>
          <w:lang w:eastAsia="ru-RU"/>
        </w:rPr>
        <w:t xml:space="preserve"> году увеличен общий объем и доходов,  и расходов местного бюджета.</w:t>
      </w:r>
    </w:p>
    <w:p w:rsidR="00AF3628" w:rsidRDefault="00E528AA">
      <w:pPr>
        <w:suppressAutoHyphens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Изменение </w:t>
      </w:r>
      <w:proofErr w:type="gramStart"/>
      <w:r>
        <w:rPr>
          <w:b/>
          <w:color w:val="000000"/>
        </w:rPr>
        <w:t>доходной</w:t>
      </w:r>
      <w:proofErr w:type="gramEnd"/>
      <w:r>
        <w:rPr>
          <w:b/>
          <w:color w:val="000000"/>
        </w:rPr>
        <w:t xml:space="preserve"> части бюджета городского округа Вичуга: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собственным доходам увеличивается</w:t>
      </w:r>
      <w:r>
        <w:rPr>
          <w:rFonts w:eastAsiaTheme="minorHAnsi" w:cstheme="minorBidi"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>на  сумму</w:t>
      </w:r>
      <w:r w:rsidRPr="00ED5F2A">
        <w:rPr>
          <w:rFonts w:eastAsiaTheme="minorHAnsi" w:cstheme="minorBidi"/>
          <w:b/>
          <w:bCs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 xml:space="preserve"> </w:t>
      </w:r>
      <w:r w:rsidRPr="00ED5F2A">
        <w:rPr>
          <w:rFonts w:eastAsiaTheme="minorHAnsi" w:cstheme="minorBidi"/>
          <w:b/>
          <w:bCs/>
          <w:lang w:eastAsia="ru-RU"/>
        </w:rPr>
        <w:t>389 232,87</w:t>
      </w:r>
      <w:r>
        <w:rPr>
          <w:rFonts w:eastAsiaTheme="minorHAnsi" w:cstheme="minorBidi"/>
          <w:b/>
          <w:bCs/>
          <w:lang w:eastAsia="ru-RU"/>
        </w:rPr>
        <w:t xml:space="preserve"> руб.</w:t>
      </w:r>
      <w:r>
        <w:rPr>
          <w:rFonts w:eastAsiaTheme="minorHAnsi" w:cstheme="minorBidi"/>
          <w:lang w:eastAsia="ru-RU"/>
        </w:rPr>
        <w:t xml:space="preserve"> </w:t>
      </w:r>
    </w:p>
    <w:p w:rsidR="00AF3628" w:rsidRPr="00ED5F2A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Theme="minorHAnsi" w:cstheme="minorBidi"/>
          <w:lang w:eastAsia="ru-RU"/>
        </w:rPr>
        <w:t>Неналоговые</w:t>
      </w:r>
      <w:r w:rsidRPr="00ED5F2A">
        <w:rPr>
          <w:rFonts w:eastAsiaTheme="minorHAnsi" w:cstheme="minorBidi"/>
          <w:lang w:eastAsia="ru-RU"/>
        </w:rPr>
        <w:t xml:space="preserve"> доходы увеличиваются за счет ожидаемых поступлений инициативных платежей от граждан и индивидуальных предпринимателей в целях реализации инициативных проектов.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color w:val="000000"/>
          <w:lang w:eastAsia="ru-RU"/>
        </w:rPr>
      </w:pPr>
      <w:r>
        <w:rPr>
          <w:b/>
          <w:color w:val="000000"/>
          <w:lang w:eastAsia="ru-RU"/>
        </w:rPr>
        <w:t>План по безвозмездным поступлениям</w:t>
      </w:r>
      <w:r w:rsidRPr="00ED5F2A">
        <w:rPr>
          <w:b/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t>на 2022 год увеличивается на общую</w:t>
      </w:r>
      <w:r>
        <w:rPr>
          <w:color w:val="000000"/>
          <w:lang w:eastAsia="ru-RU"/>
        </w:rPr>
        <w:t xml:space="preserve"> </w:t>
      </w:r>
      <w:r>
        <w:rPr>
          <w:b/>
          <w:color w:val="000000"/>
          <w:lang w:eastAsia="ru-RU"/>
        </w:rPr>
        <w:lastRenderedPageBreak/>
        <w:t xml:space="preserve">сумму </w:t>
      </w:r>
      <w:r w:rsidRPr="00ED5F2A">
        <w:rPr>
          <w:b/>
          <w:color w:val="000000"/>
          <w:lang w:eastAsia="ru-RU"/>
        </w:rPr>
        <w:t>148 439 094,14</w:t>
      </w:r>
      <w:r>
        <w:rPr>
          <w:b/>
          <w:color w:val="000000"/>
          <w:lang w:eastAsia="ru-RU"/>
        </w:rPr>
        <w:t xml:space="preserve"> руб.,</w:t>
      </w:r>
      <w:r>
        <w:rPr>
          <w:color w:val="000000"/>
          <w:lang w:eastAsia="ru-RU"/>
        </w:rPr>
        <w:t xml:space="preserve"> </w:t>
      </w:r>
      <w:r w:rsidRPr="00ED5F2A">
        <w:rPr>
          <w:color w:val="000000"/>
          <w:lang w:eastAsia="ru-RU"/>
        </w:rPr>
        <w:t xml:space="preserve"> а именно</w:t>
      </w:r>
      <w:r>
        <w:rPr>
          <w:color w:val="000000"/>
          <w:lang w:eastAsia="ru-RU"/>
        </w:rPr>
        <w:t>: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план увеличивается на общую сумму 153 981 585,74 руб., </w:t>
      </w:r>
      <w:r>
        <w:rPr>
          <w:rFonts w:eastAsia="Arial Unicode MS"/>
          <w:kern w:val="3"/>
          <w:lang w:eastAsia="zh-CN" w:bidi="hi-IN"/>
        </w:rPr>
        <w:t>в том числе: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- субсидия на укрепление материально-технической базы муниципальных учреждений культуры на 11 500 000,00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- субсидия в целях предоставления социальных выплат семьям на приобретение (строительство) жилого помещения на 1 084 164,26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- субсидия на реализацию проектов развития территорий, основанных на местных инициативах (инициативных проектов) на 6 086 254,54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- субсидия на модернизацию школьных систем образования на 90 219 677,43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 xml:space="preserve">- субсидия по осуществлению </w:t>
      </w:r>
      <w:proofErr w:type="gramStart"/>
      <w:r>
        <w:rPr>
          <w:rFonts w:eastAsia="Arial Unicode MS"/>
          <w:kern w:val="3"/>
          <w:lang w:eastAsia="zh-CN"/>
        </w:rPr>
        <w:t>дополнительных</w:t>
      </w:r>
      <w:proofErr w:type="gramEnd"/>
      <w:r>
        <w:rPr>
          <w:rFonts w:eastAsia="Arial Unicode MS"/>
          <w:kern w:val="3"/>
          <w:lang w:eastAsia="zh-CN"/>
        </w:rPr>
        <w:t xml:space="preserve"> мероприятий по профилактике и противодействию распространения новой </w:t>
      </w:r>
      <w:proofErr w:type="spellStart"/>
      <w:r>
        <w:rPr>
          <w:rFonts w:eastAsia="Arial Unicode MS"/>
          <w:kern w:val="3"/>
          <w:lang w:eastAsia="zh-CN"/>
        </w:rPr>
        <w:t>коронавирусной</w:t>
      </w:r>
      <w:proofErr w:type="spellEnd"/>
      <w:r>
        <w:rPr>
          <w:rFonts w:eastAsia="Arial Unicode MS"/>
          <w:kern w:val="3"/>
          <w:lang w:eastAsia="zh-CN"/>
        </w:rPr>
        <w:t xml:space="preserve"> инфекции (COVID-19) на 282 371,01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- субсидия на разработку сметной документации на ремонт автомобильных дорог в рамках иных непрограммных мероприятий по наказам избирателей депутатам Ивановской областной Думы на 800 000,00 руб.: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 xml:space="preserve">- субсидия на финансовое обеспечение </w:t>
      </w:r>
      <w:proofErr w:type="gramStart"/>
      <w:r>
        <w:rPr>
          <w:rFonts w:eastAsia="Arial Unicode MS"/>
          <w:kern w:val="3"/>
          <w:lang w:eastAsia="zh-CN"/>
        </w:rPr>
        <w:t>дорожной</w:t>
      </w:r>
      <w:proofErr w:type="gramEnd"/>
      <w:r>
        <w:rPr>
          <w:rFonts w:eastAsia="Arial Unicode MS"/>
          <w:kern w:val="3"/>
          <w:lang w:eastAsia="zh-CN"/>
        </w:rPr>
        <w:t xml:space="preserve"> деятельности на автомобильных дорогах общего пользования местного значения на 42 855 326,50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- субсидия на реализацию мероприятий по модернизации библиотек в части комплектования книжных фондов библиотек на 153 792,00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/>
        </w:rPr>
        <w:t>- субсидия на реализацию программ формирования современной городской среды на 1 000 000,00 руб.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 xml:space="preserve">план уменьшается на общую сумму 5 542 491,60 руб., </w:t>
      </w:r>
      <w:r>
        <w:rPr>
          <w:rFonts w:eastAsia="Arial Unicode MS"/>
          <w:kern w:val="3"/>
          <w:lang w:eastAsia="zh-CN" w:bidi="hi-IN"/>
        </w:rPr>
        <w:t>в том числе: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 xml:space="preserve">- субсидия на создание и обеспечение функционирования центров образования естественно-научной и </w:t>
      </w:r>
      <w:proofErr w:type="gramStart"/>
      <w:r>
        <w:rPr>
          <w:rFonts w:eastAsia="Arial Unicode MS"/>
          <w:kern w:val="3"/>
          <w:lang w:eastAsia="zh-CN"/>
        </w:rPr>
        <w:t>технологической</w:t>
      </w:r>
      <w:proofErr w:type="gramEnd"/>
      <w:r>
        <w:rPr>
          <w:rFonts w:eastAsia="Arial Unicode MS"/>
          <w:kern w:val="3"/>
          <w:lang w:eastAsia="zh-CN"/>
        </w:rPr>
        <w:t xml:space="preserve"> направленностей на 3 137 491,60 руб.;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- субсидия на укрепление материально-технической базы муниципальных образовательных организаций в рамках иных непрограммных мероприятий по наказам избирателей депутатам Ивановской областной Думы  на 2 405 000,00 руб.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rFonts w:eastAsia="Arial Unicode MS"/>
          <w:kern w:val="3"/>
          <w:lang w:eastAsia="zh-CN"/>
        </w:rPr>
        <w:t>Кроме того, уточняются доходы от возврата остатков субсидий прошлых лет и возврат остатков субсидий, имеющих целевое назначение, прошлых лет, в сумме 4 893,21  руб., а именно субсидия на организацию бесплатного горячего питания.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bCs/>
          <w:color w:val="000000" w:themeColor="text1"/>
        </w:rPr>
      </w:pPr>
      <w:r>
        <w:rPr>
          <w:rFonts w:eastAsia="Arial Unicode MS"/>
          <w:kern w:val="3"/>
          <w:lang w:eastAsia="zh-CN"/>
        </w:rPr>
        <w:t xml:space="preserve">    </w:t>
      </w:r>
      <w:r>
        <w:rPr>
          <w:bCs/>
          <w:color w:val="000000" w:themeColor="text1"/>
        </w:rPr>
        <w:t>В план по расходам бюджета городского округа Вичуга вносятся изменения на сумму 148 828 327,01 руб., в  том числе</w:t>
      </w:r>
      <w:proofErr w:type="gramStart"/>
      <w:r>
        <w:rPr>
          <w:bCs/>
          <w:color w:val="000000" w:themeColor="text1"/>
        </w:rPr>
        <w:t xml:space="preserve"> :</w:t>
      </w:r>
      <w:proofErr w:type="gramEnd"/>
    </w:p>
    <w:p w:rsidR="00AF3628" w:rsidRDefault="00E528AA">
      <w:pPr>
        <w:pStyle w:val="Standard"/>
        <w:ind w:firstLine="708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за счет собственных доходов на сумму 389 232,87 руб.,</w:t>
      </w:r>
    </w:p>
    <w:p w:rsidR="00AF3628" w:rsidRDefault="00E528AA">
      <w:pPr>
        <w:pStyle w:val="Standard"/>
        <w:ind w:firstLine="708"/>
        <w:contextualSpacing/>
        <w:jc w:val="both"/>
        <w:rPr>
          <w:rFonts w:cs="Times New Roman"/>
          <w:bCs/>
          <w:color w:val="000000" w:themeColor="text1"/>
        </w:rPr>
      </w:pPr>
      <w:r>
        <w:rPr>
          <w:bCs/>
          <w:color w:val="000000" w:themeColor="text1"/>
        </w:rPr>
        <w:t xml:space="preserve"> з</w:t>
      </w:r>
      <w:r>
        <w:rPr>
          <w:rFonts w:cs="Times New Roman"/>
          <w:bCs/>
          <w:color w:val="000000" w:themeColor="text1"/>
        </w:rPr>
        <w:t xml:space="preserve">а счет безвозмездных поступлений из </w:t>
      </w:r>
      <w:proofErr w:type="gramStart"/>
      <w:r>
        <w:rPr>
          <w:rFonts w:cs="Times New Roman"/>
          <w:bCs/>
          <w:color w:val="000000" w:themeColor="text1"/>
        </w:rPr>
        <w:t>областного</w:t>
      </w:r>
      <w:proofErr w:type="gramEnd"/>
      <w:r>
        <w:rPr>
          <w:rFonts w:cs="Times New Roman"/>
          <w:bCs/>
          <w:color w:val="000000" w:themeColor="text1"/>
        </w:rPr>
        <w:t xml:space="preserve"> бюджета на сумму 148 439 094,14 руб.</w:t>
      </w:r>
    </w:p>
    <w:p w:rsidR="00AF3628" w:rsidRDefault="00AF3628">
      <w:pPr>
        <w:suppressAutoHyphens w:val="0"/>
        <w:autoSpaceDE w:val="0"/>
        <w:autoSpaceDN w:val="0"/>
        <w:adjustRightInd w:val="0"/>
        <w:jc w:val="both"/>
        <w:rPr>
          <w:b/>
          <w:color w:val="00000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93"/>
      </w:tblGrid>
      <w:tr w:rsidR="00AF3628" w:rsidTr="00E528AA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AF3628" w:rsidRDefault="00E528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Pr="00ED5F2A">
              <w:rPr>
                <w:sz w:val="20"/>
                <w:szCs w:val="20"/>
                <w:lang w:eastAsia="ru-RU"/>
              </w:rPr>
              <w:t>2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F3628" w:rsidTr="00E528AA">
        <w:trPr>
          <w:trHeight w:val="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Предусматривается увеличение расходов  на сумму  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89 738 082,07 руб</w:t>
            </w:r>
            <w: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образования" +87 779 101,55 руб.</w:t>
            </w:r>
          </w:p>
          <w:p w:rsidR="00AF3628" w:rsidRPr="00E528AA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Подпрограмма "Организация отдыха детей в </w:t>
            </w:r>
            <w:proofErr w:type="gramStart"/>
            <w:r>
              <w:rPr>
                <w:sz w:val="20"/>
                <w:szCs w:val="20"/>
              </w:rPr>
              <w:t>каникулярное</w:t>
            </w:r>
            <w:proofErr w:type="gramEnd"/>
            <w:r>
              <w:rPr>
                <w:sz w:val="20"/>
                <w:szCs w:val="20"/>
              </w:rPr>
              <w:t xml:space="preserve"> время в образовательных организациях + 1 800 000,00 руб.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Подпрограмма «Развитие кадрового и инновационного потенциала образования» «минус»-29 719,48 руб.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Подпрограмма "Создание современных условий обучения в муниципальных  учреждениях" +188 700,00 руб. </w:t>
            </w:r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«Развитие  культуры  городского округа Вичуга»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D5F2A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увеличение расходов на сумму  </w:t>
            </w:r>
            <w:r w:rsidRPr="00ED5F2A">
              <w:rPr>
                <w:sz w:val="20"/>
                <w:szCs w:val="20"/>
                <w:lang w:eastAsia="ru-RU"/>
              </w:rPr>
              <w:t xml:space="preserve">11 883 882,00 </w:t>
            </w:r>
            <w:r>
              <w:rPr>
                <w:sz w:val="20"/>
                <w:szCs w:val="20"/>
                <w:lang w:eastAsia="ru-RU"/>
              </w:rPr>
              <w:t>руб.</w:t>
            </w:r>
            <w:r w:rsidRPr="00ED5F2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 xml:space="preserve">    Подпрограмма "Организация  культурного досуга и отдыха населения +10 214 250,00 руб</w:t>
            </w:r>
            <w:proofErr w:type="gramStart"/>
            <w:r>
              <w:rPr>
                <w:sz w:val="20"/>
                <w:szCs w:val="20"/>
              </w:rPr>
              <w:t>.;.</w:t>
            </w:r>
            <w:proofErr w:type="gramEnd"/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"Библиотечно-</w:t>
            </w:r>
            <w:r>
              <w:rPr>
                <w:bCs/>
                <w:color w:val="000000" w:themeColor="text1"/>
                <w:sz w:val="20"/>
                <w:szCs w:val="20"/>
              </w:rPr>
              <w:lastRenderedPageBreak/>
              <w:t>информационное обслуживание населения"+153 792,00 руб.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Подпрограмма "Музейно-выставочная деятельность"+ 1 515 840,00 руб.</w:t>
            </w:r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pStyle w:val="Standard"/>
              <w:ind w:firstLine="709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lastRenderedPageBreak/>
              <w:t xml:space="preserve">Муниципальная программа   «Благоустройство городского округа Вичуга»                                                                       </w:t>
            </w:r>
          </w:p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D5F2A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уменьшение расходов на сумму </w:t>
            </w:r>
            <w:r w:rsidRPr="00ED5F2A">
              <w:rPr>
                <w:sz w:val="20"/>
                <w:szCs w:val="20"/>
                <w:lang w:eastAsia="ru-RU"/>
              </w:rPr>
              <w:t xml:space="preserve"> «минус»                 420 000,00руб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территорий общего пользования»+ 580 000,00 руб.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Подпрограмма «Содержание общественных дорог территорий городского округа Вичуга» «минус»-1 000 000,00 руб.</w:t>
            </w:r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pStyle w:val="Standard"/>
              <w:ind w:firstLine="709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Муниципальная программа                                                          "Совершенствование системы местного самоуправления                                 городского округа Вичуга"</w:t>
            </w:r>
          </w:p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ED5F2A">
              <w:rPr>
                <w:sz w:val="20"/>
                <w:szCs w:val="20"/>
                <w:lang w:eastAsia="ru-RU"/>
              </w:rPr>
              <w:t>286 209,00</w:t>
            </w:r>
            <w:r>
              <w:rPr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Подпрограмма "Обеспечение деятельности администрации городского округа Вичуга, её отраслевых (функциональных) органов, структурных подразделений и муниципальных казённых учреждений, обеспечивающих деятельность администрации городского округа Вичуга + 286 209,00 руб.</w:t>
            </w:r>
          </w:p>
        </w:tc>
      </w:tr>
      <w:tr w:rsidR="00AF3628" w:rsidTr="00E528AA">
        <w:trPr>
          <w:trHeight w:val="9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528AA" w:rsidRDefault="00E528AA" w:rsidP="00E528AA">
            <w:pPr>
              <w:pStyle w:val="Standard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Муниципальная программа                                                                                 "Социальная поддержка населения городского округа Вичуга»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D5F2A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ED5F2A">
              <w:rPr>
                <w:sz w:val="20"/>
                <w:szCs w:val="20"/>
                <w:lang w:eastAsia="ru-RU"/>
              </w:rPr>
              <w:t>10 000,00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«Поддержка отдельных категорий жителей городского округа Вичуга»+10 000,00 руб.</w:t>
            </w:r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eastAsia="SimSun" w:cs="Times New Roman"/>
                <w:color w:val="000000" w:themeColor="text1"/>
                <w:sz w:val="20"/>
                <w:szCs w:val="20"/>
              </w:rPr>
              <w:t>Муниципальная программа     «</w:t>
            </w:r>
            <w:r>
              <w:rPr>
                <w:rFonts w:cs="Times New Roman"/>
                <w:sz w:val="20"/>
                <w:szCs w:val="20"/>
              </w:rPr>
              <w:t>Развитие транспортной системы в городском округе Вичуга»</w:t>
            </w:r>
            <w:proofErr w:type="gramEnd"/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rFonts w:eastAsia="SimSun"/>
                <w:color w:val="000000" w:themeColor="text1"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eastAsia="SimSun"/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D5F2A">
              <w:rPr>
                <w:sz w:val="20"/>
                <w:szCs w:val="20"/>
                <w:lang w:eastAsia="ru-RU"/>
              </w:rPr>
              <w:t>40 366 453,22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20"/>
                <w:szCs w:val="20"/>
              </w:rPr>
              <w:t>Подпрограмма "Ремонт автомобильных дорог общего пользования местного значения, придомовых территорий многоквартирных домов и проездов к придомовым территориям многоквартирных домов"+40 366 453,22руб.</w:t>
            </w:r>
          </w:p>
        </w:tc>
      </w:tr>
      <w:tr w:rsidR="00AF3628" w:rsidTr="00E528AA">
        <w:trPr>
          <w:trHeight w:val="23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Муниципальная программа</w:t>
            </w:r>
          </w:p>
          <w:p w:rsidR="00AF3628" w:rsidRDefault="00E528A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"Обеспечение доступным и комфортным  жильём,</w:t>
            </w:r>
          </w:p>
          <w:p w:rsidR="00AF3628" w:rsidRPr="00E528AA" w:rsidRDefault="00E528AA" w:rsidP="00E528AA">
            <w:pPr>
              <w:pStyle w:val="Standard"/>
              <w:ind w:firstLine="709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объектами инженерной инфраструктуры и услугами жилищно-коммунального хозяйства населения городского округа Вичуга"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D5F2A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ED5F2A">
              <w:rPr>
                <w:sz w:val="20"/>
                <w:szCs w:val="20"/>
                <w:lang w:eastAsia="ru-RU"/>
              </w:rPr>
              <w:t>1 386 896,70</w:t>
            </w:r>
            <w:r>
              <w:rPr>
                <w:sz w:val="20"/>
                <w:szCs w:val="20"/>
                <w:lang w:eastAsia="ru-RU"/>
              </w:rPr>
              <w:t>руб</w:t>
            </w:r>
            <w:r w:rsidRPr="00ED5F2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«Обеспечение жильем молодых се</w:t>
            </w:r>
            <w:r w:rsidR="00ED5F2A">
              <w:rPr>
                <w:bCs/>
                <w:color w:val="000000" w:themeColor="text1"/>
                <w:sz w:val="20"/>
                <w:szCs w:val="20"/>
              </w:rPr>
              <w:t>м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ей, в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т.ч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>. предоставление земельных участков для строительства жилых домов» + 1 084 164,26 руб.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Подпрограмма «Модернизация объектов коммунальной инфраструктуры и обеспечение функционирования систем </w:t>
            </w:r>
            <w:r w:rsidR="00ED5F2A">
              <w:rPr>
                <w:bCs/>
                <w:color w:val="000000" w:themeColor="text1"/>
                <w:sz w:val="20"/>
                <w:szCs w:val="20"/>
              </w:rPr>
              <w:t>жизнеобеспечения</w:t>
            </w:r>
            <w:r>
              <w:rPr>
                <w:bCs/>
                <w:color w:val="000000" w:themeColor="text1"/>
                <w:sz w:val="20"/>
                <w:szCs w:val="20"/>
              </w:rPr>
              <w:t>»+ 302 732,44 руб.</w:t>
            </w:r>
          </w:p>
        </w:tc>
      </w:tr>
      <w:tr w:rsidR="00AF3628" w:rsidTr="00E528AA">
        <w:trPr>
          <w:trHeight w:val="191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ind w:left="62" w:right="62" w:firstLine="646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городского округа Вичуга</w:t>
            </w:r>
          </w:p>
          <w:p w:rsidR="00AF3628" w:rsidRDefault="00E528AA">
            <w:pPr>
              <w:pStyle w:val="Standard"/>
              <w:ind w:firstLine="709"/>
              <w:contextualSpacing/>
              <w:jc w:val="center"/>
              <w:rPr>
                <w:rFonts w:eastAsia="SimSun" w:cs="Times New Roman"/>
                <w:sz w:val="18"/>
                <w:szCs w:val="18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"Формирование комфортной городской сред</w:t>
            </w: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D5F2A" w:rsidRDefault="00E528A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Предусматривается увеличение расходов</w:t>
            </w:r>
            <w:r w:rsidRPr="00ED5F2A">
              <w:rPr>
                <w:sz w:val="20"/>
                <w:szCs w:val="20"/>
                <w:lang w:eastAsia="ru-RU"/>
              </w:rPr>
              <w:t xml:space="preserve"> на сумму </w:t>
            </w:r>
          </w:p>
          <w:p w:rsidR="00AF3628" w:rsidRPr="00ED5F2A" w:rsidRDefault="00E528A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ED5F2A">
              <w:rPr>
                <w:sz w:val="20"/>
                <w:szCs w:val="20"/>
                <w:lang w:eastAsia="ru-RU"/>
              </w:rPr>
              <w:t xml:space="preserve">7 082 425,07 руб.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28" w:rsidRDefault="00E528AA">
            <w:pPr>
              <w:ind w:hanging="108"/>
              <w:contextualSpacing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«Благоустройство общественных территорий городского округа Вичуга» +1 052 631,58 руб.</w:t>
            </w:r>
          </w:p>
          <w:p w:rsidR="00AF3628" w:rsidRDefault="00E528AA">
            <w:pPr>
              <w:ind w:hanging="108"/>
              <w:contextualSpacing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дворовых территорий городского округа Вичуга в рамках поддержки местных инициатив"+6 029 793,49 руб.</w:t>
            </w:r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ИТОГО, программные расходы</w:t>
            </w:r>
          </w:p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+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 xml:space="preserve">150 333 948,06 </w:t>
            </w:r>
            <w:r>
              <w:rPr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D5F2A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уменьшение расходов на сумму </w:t>
            </w:r>
            <w:r w:rsidRPr="00ED5F2A">
              <w:rPr>
                <w:sz w:val="20"/>
                <w:szCs w:val="20"/>
                <w:lang w:eastAsia="ru-RU"/>
              </w:rPr>
              <w:t xml:space="preserve">   «минус»-1 505 621,05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28" w:rsidRDefault="00E528AA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val="en-US" w:eastAsia="ru-RU"/>
              </w:rPr>
              <w:t>+148 828 327,01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eastAsia="ru-RU"/>
              </w:rPr>
            </w:pPr>
          </w:p>
        </w:tc>
      </w:tr>
    </w:tbl>
    <w:p w:rsidR="00AF3628" w:rsidRDefault="00E528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</w:t>
      </w:r>
    </w:p>
    <w:p w:rsidR="00AF3628" w:rsidRDefault="00AF362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F3628" w:rsidRDefault="00E528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lastRenderedPageBreak/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ED5F2A">
        <w:rPr>
          <w:b/>
          <w:bCs/>
          <w:lang w:eastAsia="ru-RU"/>
        </w:rPr>
        <w:t>3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AF3628">
        <w:tc>
          <w:tcPr>
            <w:tcW w:w="1198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 xml:space="preserve">  от 2</w:t>
            </w:r>
            <w:r>
              <w:rPr>
                <w:b/>
                <w:sz w:val="20"/>
                <w:szCs w:val="20"/>
                <w:lang w:val="en-US" w:eastAsia="ru-RU"/>
              </w:rPr>
              <w:t>7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01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500 726 292,40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131 710 097,75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369 016 194,65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493 298 432,98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+7 427 859,42</w:t>
            </w: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ru-RU"/>
              </w:rPr>
              <w:t>проекта</w:t>
            </w:r>
            <w:proofErr w:type="spellEnd"/>
            <w:proofErr w:type="gramEnd"/>
            <w:r>
              <w:rPr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ru-RU"/>
              </w:rPr>
              <w:t>решения</w:t>
            </w:r>
            <w:proofErr w:type="spellEnd"/>
            <w:r>
              <w:rPr>
                <w:b/>
                <w:sz w:val="20"/>
                <w:szCs w:val="20"/>
                <w:lang w:val="en-US" w:eastAsia="ru-RU"/>
              </w:rPr>
              <w:t xml:space="preserve"> №15</w:t>
            </w:r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497 733 535,30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131 710 097,75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366 023 437,55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490 305 359,44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+7 428 175,86</w:t>
            </w: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- 2 992 757,10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>-0,6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-2 992 757,10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>-0,8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-2 993 073,54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(-0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,61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+316,44</w:t>
            </w:r>
          </w:p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</w:p>
        </w:tc>
      </w:tr>
    </w:tbl>
    <w:p w:rsidR="00AF3628" w:rsidRDefault="00AF3628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AF3628" w:rsidRDefault="00E528AA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Изменение доходной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AF3628" w:rsidRPr="00ED5F2A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Theme="minorHAnsi" w:cstheme="minorBidi"/>
          <w:lang w:eastAsia="ru-RU"/>
        </w:rPr>
      </w:pPr>
      <w:r>
        <w:rPr>
          <w:rFonts w:eastAsia="Arial Unicode MS" w:cstheme="minorBidi"/>
          <w:b/>
          <w:kern w:val="3"/>
          <w:lang w:eastAsia="zh-CN" w:bidi="hi-IN"/>
        </w:rPr>
        <w:t>План по безвозмездным поступлениям  уменьшается</w:t>
      </w:r>
      <w:r>
        <w:rPr>
          <w:rFonts w:eastAsiaTheme="minorHAnsi" w:cstheme="minorBidi"/>
          <w:lang w:eastAsia="ru-RU"/>
        </w:rPr>
        <w:t xml:space="preserve"> </w:t>
      </w:r>
      <w:r>
        <w:rPr>
          <w:rFonts w:eastAsiaTheme="minorHAnsi" w:cstheme="minorBidi"/>
          <w:b/>
          <w:bCs/>
          <w:lang w:eastAsia="ru-RU"/>
        </w:rPr>
        <w:t>на общую сумму</w:t>
      </w:r>
      <w:r w:rsidRPr="00ED5F2A">
        <w:rPr>
          <w:rFonts w:eastAsiaTheme="minorHAnsi" w:cstheme="minorBidi"/>
          <w:b/>
          <w:bCs/>
          <w:lang w:eastAsia="ru-RU"/>
        </w:rPr>
        <w:t xml:space="preserve"> -2 992 757,10 руб., в том числе: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>план увеличивается на  сумму 139 425,00</w:t>
      </w:r>
      <w:r>
        <w:rPr>
          <w:rFonts w:eastAsia="Arial Unicode MS"/>
          <w:b/>
          <w:color w:val="FF0000"/>
          <w:kern w:val="3"/>
          <w:lang w:eastAsia="zh-CN" w:bidi="hi-IN"/>
        </w:rPr>
        <w:t xml:space="preserve"> </w:t>
      </w:r>
      <w:r>
        <w:rPr>
          <w:rFonts w:eastAsia="Arial Unicode MS"/>
          <w:b/>
          <w:kern w:val="3"/>
          <w:lang w:eastAsia="zh-CN" w:bidi="hi-IN"/>
        </w:rPr>
        <w:t>руб., -</w:t>
      </w:r>
      <w:r>
        <w:rPr>
          <w:rFonts w:eastAsia="Arial Unicode MS"/>
          <w:b/>
          <w:kern w:val="3"/>
          <w:lang w:eastAsia="zh-CN"/>
        </w:rPr>
        <w:t xml:space="preserve"> субсидия на реализацию мероприятий по модернизации библиотек в части комплектования книжных фондов библиотек;</w:t>
      </w:r>
    </w:p>
    <w:p w:rsidR="00AF3628" w:rsidRDefault="00E528AA">
      <w:pPr>
        <w:widowControl w:val="0"/>
        <w:autoSpaceDN w:val="0"/>
        <w:ind w:firstLine="709"/>
        <w:contextualSpacing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>план уменьшается на сумму 3 132 182,10 руб, в том числе:</w:t>
      </w:r>
    </w:p>
    <w:p w:rsidR="00AF3628" w:rsidRDefault="00E528AA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 xml:space="preserve">    - субсидия на создание и обеспечение функционирования центров образования естественно-научной и </w:t>
      </w:r>
      <w:proofErr w:type="gramStart"/>
      <w:r>
        <w:rPr>
          <w:color w:val="000000"/>
        </w:rPr>
        <w:t>технологической</w:t>
      </w:r>
      <w:proofErr w:type="gramEnd"/>
      <w:r>
        <w:rPr>
          <w:color w:val="000000"/>
        </w:rPr>
        <w:t xml:space="preserve"> направленностей на 1 568 505,90 руб.;</w:t>
      </w:r>
    </w:p>
    <w:p w:rsidR="00AF3628" w:rsidRDefault="00E528AA">
      <w:pPr>
        <w:suppressAutoHyphens w:val="0"/>
        <w:contextualSpacing/>
        <w:jc w:val="both"/>
        <w:rPr>
          <w:color w:val="000000"/>
        </w:rPr>
      </w:pPr>
      <w:r>
        <w:rPr>
          <w:color w:val="000000"/>
        </w:rPr>
        <w:tab/>
        <w:t>- субсидия на обеспечение образовательных организаций материально-технической базой для внедрения цифровой образовательной среды на 1 563 676,20 руб.</w:t>
      </w:r>
    </w:p>
    <w:p w:rsidR="00AF3628" w:rsidRDefault="00E528AA">
      <w:pPr>
        <w:numPr>
          <w:ilvl w:val="0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    </w:t>
      </w:r>
      <w:r>
        <w:rPr>
          <w:b/>
          <w:lang w:eastAsia="ru-RU"/>
        </w:rPr>
        <w:t xml:space="preserve">Проект решения предусматривает изменения объема расходов. </w:t>
      </w:r>
    </w:p>
    <w:p w:rsidR="00AF3628" w:rsidRDefault="00E528AA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   </w:t>
      </w:r>
      <w:r w:rsidRPr="00ED5F2A">
        <w:rPr>
          <w:b/>
          <w:lang w:eastAsia="ru-RU"/>
        </w:rPr>
        <w:t xml:space="preserve">     </w:t>
      </w:r>
    </w:p>
    <w:p w:rsidR="00AF3628" w:rsidRPr="00E528AA" w:rsidRDefault="00E528AA" w:rsidP="00E528AA">
      <w:pPr>
        <w:jc w:val="both"/>
        <w:rPr>
          <w:b/>
          <w:lang w:eastAsia="ru-RU"/>
        </w:rPr>
      </w:pPr>
      <w:r>
        <w:rPr>
          <w:b/>
          <w:lang w:eastAsia="ru-RU"/>
        </w:rPr>
        <w:t>Расходы бюджета  202</w:t>
      </w:r>
      <w:r w:rsidRPr="00ED5F2A">
        <w:rPr>
          <w:b/>
          <w:lang w:eastAsia="ru-RU"/>
        </w:rPr>
        <w:t>3</w:t>
      </w:r>
      <w:r>
        <w:rPr>
          <w:b/>
          <w:lang w:eastAsia="ru-RU"/>
        </w:rPr>
        <w:t xml:space="preserve">г. уменьшаются   на сумму </w:t>
      </w:r>
      <w:r w:rsidRPr="00ED5F2A">
        <w:rPr>
          <w:b/>
          <w:lang w:eastAsia="ru-RU"/>
        </w:rPr>
        <w:t>2 993 073,54</w:t>
      </w:r>
      <w:r>
        <w:rPr>
          <w:b/>
          <w:lang w:eastAsia="ru-RU"/>
        </w:rPr>
        <w:t xml:space="preserve">  руб., в том числе: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3793"/>
      </w:tblGrid>
      <w:tr w:rsidR="00AF3628" w:rsidTr="00E528AA">
        <w:trPr>
          <w:trHeight w:val="4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AF3628" w:rsidRDefault="00E528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Pr="00ED5F2A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F3628" w:rsidTr="00E528AA">
        <w:trPr>
          <w:trHeight w:val="12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«Развитие системы образования городского округа Вичуга»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Предусматривается уменьшение расходов  на сумму  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3 132 498,54 руб</w:t>
            </w:r>
            <w: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общего образования" «минус»-1 568 664,34 руб.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Подпрограмма «Развитие </w:t>
            </w:r>
            <w:proofErr w:type="spellStart"/>
            <w:r>
              <w:rPr>
                <w:sz w:val="20"/>
                <w:szCs w:val="20"/>
              </w:rPr>
              <w:t>цифровизации</w:t>
            </w:r>
            <w:proofErr w:type="spellEnd"/>
            <w:r>
              <w:rPr>
                <w:sz w:val="20"/>
                <w:szCs w:val="20"/>
              </w:rPr>
              <w:t xml:space="preserve"> образовательного процесса в регионе» «минус»-1 563 834,20 руб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</w:tr>
      <w:tr w:rsidR="00AF3628" w:rsidTr="00E528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«Развитие  культуры  городского округа Вичуга»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ED5F2A">
              <w:rPr>
                <w:sz w:val="20"/>
                <w:szCs w:val="20"/>
                <w:lang w:eastAsia="ru-RU"/>
              </w:rPr>
              <w:t xml:space="preserve"> 139 425,00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"Библиотечно-информационное обслуживание населения"+ 139 425,00 руб.</w:t>
            </w:r>
          </w:p>
        </w:tc>
      </w:tr>
      <w:tr w:rsidR="00AF3628" w:rsidTr="00E528AA">
        <w:trPr>
          <w:trHeight w:val="4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Pr="00E528AA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программные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«</w:t>
            </w:r>
            <w:proofErr w:type="gramStart"/>
            <w:r>
              <w:rPr>
                <w:b/>
                <w:bCs/>
                <w:sz w:val="20"/>
                <w:szCs w:val="20"/>
                <w:lang w:val="en-US" w:eastAsia="ru-RU"/>
              </w:rPr>
              <w:t>минус</w:t>
            </w:r>
            <w:proofErr w:type="gramEnd"/>
            <w:r>
              <w:rPr>
                <w:b/>
                <w:bCs/>
                <w:sz w:val="20"/>
                <w:szCs w:val="20"/>
                <w:lang w:val="en-US" w:eastAsia="ru-RU"/>
              </w:rPr>
              <w:t>»-2 993 073,54 руб.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AF3628" w:rsidRDefault="00AF362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F3628" w:rsidRDefault="00E528A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ED5F2A">
        <w:rPr>
          <w:b/>
          <w:bCs/>
          <w:lang w:eastAsia="ru-RU"/>
        </w:rPr>
        <w:t>4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>. Анализ изменений 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479"/>
        <w:gridCol w:w="1466"/>
        <w:gridCol w:w="1479"/>
        <w:gridCol w:w="1479"/>
        <w:gridCol w:w="1430"/>
        <w:gridCol w:w="1500"/>
      </w:tblGrid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ДЕФИЦИТ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ПРОФИЦИТ</w:t>
            </w:r>
            <w:proofErr w:type="gramStart"/>
            <w:r>
              <w:rPr>
                <w:b/>
                <w:sz w:val="16"/>
                <w:szCs w:val="16"/>
                <w:lang w:eastAsia="ru-RU"/>
              </w:rPr>
              <w:t xml:space="preserve"> (+)</w:t>
            </w:r>
            <w:proofErr w:type="gramEnd"/>
          </w:p>
        </w:tc>
      </w:tr>
      <w:tr w:rsidR="00AF3628">
        <w:tc>
          <w:tcPr>
            <w:tcW w:w="1198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 xml:space="preserve">  от 2</w:t>
            </w:r>
            <w:r>
              <w:rPr>
                <w:b/>
                <w:sz w:val="20"/>
                <w:szCs w:val="20"/>
                <w:lang w:val="en-US" w:eastAsia="ru-RU"/>
              </w:rPr>
              <w:t>7</w:t>
            </w:r>
            <w:r>
              <w:rPr>
                <w:b/>
                <w:sz w:val="20"/>
                <w:szCs w:val="20"/>
                <w:lang w:eastAsia="ru-RU"/>
              </w:rPr>
              <w:t>.</w:t>
            </w:r>
            <w:r>
              <w:rPr>
                <w:b/>
                <w:sz w:val="20"/>
                <w:szCs w:val="20"/>
                <w:lang w:val="en-US" w:eastAsia="ru-RU"/>
              </w:rPr>
              <w:t>01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2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489 812 401,61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136 373 109,42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353 439 292,19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484 585 361,36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6 373 000,00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+5 227 040,25</w:t>
            </w: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15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489 950 030,61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136 373 109,42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353 439 292,19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484 722 990,36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6 373 000,00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+5 227 040,25</w:t>
            </w:r>
          </w:p>
        </w:tc>
      </w:tr>
      <w:tr w:rsidR="00AF3628">
        <w:tc>
          <w:tcPr>
            <w:tcW w:w="10031" w:type="dxa"/>
            <w:gridSpan w:val="7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</w:p>
        </w:tc>
      </w:tr>
      <w:tr w:rsidR="00AF3628">
        <w:tc>
          <w:tcPr>
            <w:tcW w:w="1198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ind w:firstLineChars="50" w:firstLine="10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137 629,00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ind w:firstLineChars="50" w:firstLine="10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0,03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---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137 629,00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0,04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137 629,00</w:t>
            </w:r>
          </w:p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0,03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0" w:type="dxa"/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AF3628" w:rsidRDefault="00AF3628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AF3628" w:rsidRDefault="00E528AA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b/>
          <w:color w:val="000000"/>
        </w:rPr>
        <w:t xml:space="preserve">2.       </w:t>
      </w:r>
      <w:r>
        <w:rPr>
          <w:color w:val="000000"/>
        </w:rPr>
        <w:t xml:space="preserve"> </w:t>
      </w:r>
      <w:r>
        <w:rPr>
          <w:b/>
          <w:color w:val="000000"/>
        </w:rPr>
        <w:t>Изменение доходной части бюджета городского округа Вичуга</w:t>
      </w:r>
      <w:proofErr w:type="gramStart"/>
      <w:r>
        <w:rPr>
          <w:b/>
          <w:color w:val="000000"/>
        </w:rPr>
        <w:t xml:space="preserve"> :</w:t>
      </w:r>
      <w:proofErr w:type="gramEnd"/>
    </w:p>
    <w:p w:rsidR="00AF3628" w:rsidRDefault="00E528AA">
      <w:pPr>
        <w:widowControl w:val="0"/>
        <w:autoSpaceDN w:val="0"/>
        <w:contextualSpacing/>
        <w:jc w:val="both"/>
        <w:textAlignment w:val="baseline"/>
        <w:rPr>
          <w:rFonts w:eastAsia="Arial Unicode MS"/>
          <w:kern w:val="3"/>
          <w:lang w:eastAsia="zh-CN"/>
        </w:rPr>
      </w:pPr>
      <w:r>
        <w:rPr>
          <w:b/>
          <w:color w:val="000000"/>
        </w:rPr>
        <w:t xml:space="preserve">          План по доходам за счет безвозмездных поступлений увеличивается на сумму 137 629,00</w:t>
      </w:r>
      <w:r>
        <w:rPr>
          <w:rFonts w:eastAsia="Arial Unicode MS"/>
          <w:b/>
          <w:kern w:val="3"/>
          <w:lang w:eastAsia="zh-CN" w:bidi="hi-IN"/>
        </w:rPr>
        <w:t xml:space="preserve"> руб</w:t>
      </w:r>
      <w:r>
        <w:rPr>
          <w:rFonts w:eastAsia="Arial Unicode MS"/>
          <w:kern w:val="3"/>
          <w:lang w:eastAsia="zh-CN" w:bidi="hi-IN"/>
        </w:rPr>
        <w:t>.-</w:t>
      </w:r>
      <w:r>
        <w:rPr>
          <w:rFonts w:eastAsia="Arial Unicode MS"/>
          <w:kern w:val="3"/>
          <w:lang w:eastAsia="zh-CN"/>
        </w:rPr>
        <w:t xml:space="preserve"> субсидия на реализацию мероприятий по модернизации библиотек в части комплектования книжных фондов библиотек.</w:t>
      </w:r>
    </w:p>
    <w:p w:rsidR="00AF3628" w:rsidRDefault="00E528AA">
      <w:pPr>
        <w:suppressAutoHyphens w:val="0"/>
        <w:contextualSpacing/>
        <w:jc w:val="both"/>
        <w:rPr>
          <w:b/>
          <w:lang w:eastAsia="ru-RU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  </w:t>
      </w:r>
      <w:r>
        <w:rPr>
          <w:b/>
          <w:bCs/>
          <w:color w:val="000000"/>
        </w:rPr>
        <w:t xml:space="preserve"> 3.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 xml:space="preserve">    </w:t>
      </w:r>
      <w:r>
        <w:rPr>
          <w:b/>
          <w:lang w:eastAsia="ru-RU"/>
        </w:rPr>
        <w:t xml:space="preserve">Проект решения предусматривает изменения объема расходов.     </w:t>
      </w:r>
      <w:r w:rsidRPr="00ED5F2A">
        <w:rPr>
          <w:b/>
          <w:lang w:eastAsia="ru-RU"/>
        </w:rPr>
        <w:t xml:space="preserve">  </w:t>
      </w:r>
    </w:p>
    <w:p w:rsidR="00AF3628" w:rsidRDefault="00E528AA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 Расходы бюджета  202</w:t>
      </w:r>
      <w:r w:rsidRPr="00ED5F2A">
        <w:rPr>
          <w:b/>
          <w:lang w:eastAsia="ru-RU"/>
        </w:rPr>
        <w:t>4</w:t>
      </w:r>
      <w:r>
        <w:rPr>
          <w:b/>
          <w:lang w:eastAsia="ru-RU"/>
        </w:rPr>
        <w:t xml:space="preserve">г. увеличивается   на сумму  </w:t>
      </w:r>
      <w:r w:rsidRPr="00ED5F2A">
        <w:rPr>
          <w:b/>
          <w:lang w:eastAsia="ru-RU"/>
        </w:rPr>
        <w:t xml:space="preserve">137 629,00 </w:t>
      </w:r>
      <w:r>
        <w:rPr>
          <w:b/>
          <w:lang w:eastAsia="ru-RU"/>
        </w:rPr>
        <w:t>руб., а</w:t>
      </w:r>
      <w:r w:rsidRPr="00ED5F2A">
        <w:rPr>
          <w:b/>
          <w:lang w:eastAsia="ru-RU"/>
        </w:rPr>
        <w:t xml:space="preserve"> именно</w:t>
      </w:r>
      <w:r>
        <w:rPr>
          <w:b/>
          <w:lang w:eastAsia="ru-RU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084"/>
      </w:tblGrid>
      <w:tr w:rsidR="00AF3628" w:rsidTr="00E528AA">
        <w:trPr>
          <w:trHeight w:val="4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Наименование показателя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Изменения, предлагаемые проектом решения на</w:t>
            </w:r>
          </w:p>
          <w:p w:rsidR="00AF3628" w:rsidRDefault="00E528A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Pr="00ED5F2A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F3628" w:rsidTr="00E528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Муниципальная программа «Развитие  культуры  городского округа Вичуга»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Предусматривается увеличение расходов на сумму </w:t>
            </w:r>
            <w:r w:rsidRPr="00ED5F2A">
              <w:rPr>
                <w:sz w:val="20"/>
                <w:szCs w:val="20"/>
                <w:lang w:eastAsia="ru-RU"/>
              </w:rPr>
              <w:t xml:space="preserve"> 137 629,00 руб.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Подпрограмма "Библиотечно-информационное обслуживание населения"+ 137 629,00 руб.</w:t>
            </w:r>
          </w:p>
        </w:tc>
      </w:tr>
      <w:tr w:rsidR="00AF3628" w:rsidTr="00E528A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программные расходы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E528AA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+ </w:t>
            </w:r>
            <w:r>
              <w:rPr>
                <w:b/>
                <w:sz w:val="20"/>
                <w:szCs w:val="20"/>
                <w:lang w:val="en-US" w:eastAsia="ru-RU"/>
              </w:rPr>
              <w:t>137 629,00руб.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28" w:rsidRDefault="00AF3628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AF3628" w:rsidRDefault="00E528AA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</w:t>
      </w:r>
    </w:p>
    <w:p w:rsidR="00AF3628" w:rsidRDefault="00E528AA" w:rsidP="00E528AA">
      <w:pPr>
        <w:suppressAutoHyphens w:val="0"/>
        <w:autoSpaceDE w:val="0"/>
        <w:autoSpaceDN w:val="0"/>
        <w:adjustRightInd w:val="0"/>
        <w:ind w:firstLine="480"/>
        <w:jc w:val="both"/>
        <w:rPr>
          <w:lang w:eastAsia="ru-RU"/>
        </w:rPr>
      </w:pPr>
      <w:proofErr w:type="gramStart"/>
      <w:r>
        <w:rPr>
          <w:lang w:eastAsia="ru-RU"/>
        </w:rPr>
        <w:t xml:space="preserve">Контрольно-счетная комиссия городского округа Вичуга отмечает, что представленный проект Решения городской Думы городского округа Вичуга № </w:t>
      </w:r>
      <w:r w:rsidRPr="00ED5F2A">
        <w:rPr>
          <w:lang w:eastAsia="ru-RU"/>
        </w:rPr>
        <w:t>15</w:t>
      </w:r>
      <w:r>
        <w:rPr>
          <w:lang w:eastAsia="ru-RU"/>
        </w:rPr>
        <w:t>» О внесении изменений в решение городской Думы городского округа Вичуга седьмого созыва от 2</w:t>
      </w:r>
      <w:r w:rsidRPr="00ED5F2A">
        <w:rPr>
          <w:lang w:eastAsia="ru-RU"/>
        </w:rPr>
        <w:t>3</w:t>
      </w:r>
      <w:r>
        <w:rPr>
          <w:lang w:eastAsia="ru-RU"/>
        </w:rPr>
        <w:t>.12.20</w:t>
      </w:r>
      <w:r w:rsidRPr="00ED5F2A">
        <w:rPr>
          <w:lang w:eastAsia="ru-RU"/>
        </w:rPr>
        <w:t>21</w:t>
      </w:r>
      <w:r>
        <w:rPr>
          <w:lang w:eastAsia="ru-RU"/>
        </w:rPr>
        <w:t xml:space="preserve">г. № </w:t>
      </w:r>
      <w:r w:rsidRPr="00ED5F2A">
        <w:rPr>
          <w:lang w:eastAsia="ru-RU"/>
        </w:rPr>
        <w:t>58</w:t>
      </w:r>
      <w:r>
        <w:rPr>
          <w:lang w:eastAsia="ru-RU"/>
        </w:rPr>
        <w:t xml:space="preserve"> «О бюджете городского округа Вичуга на 202</w:t>
      </w:r>
      <w:r w:rsidRPr="00ED5F2A">
        <w:rPr>
          <w:lang w:eastAsia="ru-RU"/>
        </w:rPr>
        <w:t>2</w:t>
      </w:r>
      <w:r>
        <w:rPr>
          <w:lang w:eastAsia="ru-RU"/>
        </w:rPr>
        <w:t xml:space="preserve"> год и на плановый период 202</w:t>
      </w:r>
      <w:r w:rsidRPr="00ED5F2A">
        <w:rPr>
          <w:lang w:eastAsia="ru-RU"/>
        </w:rPr>
        <w:t>3</w:t>
      </w:r>
      <w:r>
        <w:rPr>
          <w:lang w:eastAsia="ru-RU"/>
        </w:rPr>
        <w:t>-202</w:t>
      </w:r>
      <w:r w:rsidRPr="00ED5F2A">
        <w:rPr>
          <w:lang w:eastAsia="ru-RU"/>
        </w:rPr>
        <w:t>4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 объёме обязательств по первоочередным расходам и недопущение роста кредиторской задолженности.</w:t>
      </w:r>
    </w:p>
    <w:p w:rsidR="00AF3628" w:rsidRDefault="00E528AA">
      <w:pPr>
        <w:ind w:firstLineChars="200" w:firstLine="480"/>
        <w:jc w:val="both"/>
      </w:pPr>
      <w:r>
        <w:t>Однако</w:t>
      </w:r>
      <w:proofErr w:type="gramStart"/>
      <w:r>
        <w:t>,</w:t>
      </w:r>
      <w:proofErr w:type="gramEnd"/>
      <w:r>
        <w:t xml:space="preserve"> Контрольно-счетная городского округа Вичуга комиссия отмечает нецелесообразность введения дополнительной ставки  старшего инспектора в МКУ «Управление административными зданиями и транспортом» для положительного  освещения общественно-значимых событий в социальных сетях и предлагает рассмотреть передачу функций  для  положительного освещения общественно-значимых событий в социальных сетях на уже имеющегося в штате специалиста по связям с общественностью, что позволит сэкономить средства  бюджета городского округа Вичуга.</w:t>
      </w:r>
    </w:p>
    <w:p w:rsidR="00AF3628" w:rsidRDefault="00AF3628" w:rsidP="00ED5F2A">
      <w:pPr>
        <w:jc w:val="both"/>
      </w:pPr>
    </w:p>
    <w:p w:rsidR="00AF3628" w:rsidRDefault="00E528AA">
      <w:pPr>
        <w:jc w:val="both"/>
        <w:rPr>
          <w:b/>
        </w:rPr>
      </w:pPr>
      <w:r>
        <w:rPr>
          <w:b/>
        </w:rPr>
        <w:t xml:space="preserve">  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AF3628" w:rsidRDefault="00E528AA">
      <w:pPr>
        <w:jc w:val="both"/>
        <w:rPr>
          <w:b/>
        </w:rPr>
      </w:pPr>
      <w:r>
        <w:rPr>
          <w:b/>
        </w:rPr>
        <w:t xml:space="preserve">комиссии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О.В.</w:t>
      </w:r>
      <w:r w:rsidR="00ED5F2A">
        <w:rPr>
          <w:b/>
        </w:rPr>
        <w:t xml:space="preserve"> </w:t>
      </w:r>
      <w:r>
        <w:rPr>
          <w:b/>
        </w:rPr>
        <w:t>Стрелкова</w:t>
      </w:r>
    </w:p>
    <w:p w:rsidR="00AF3628" w:rsidRDefault="00E528AA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AF3628" w:rsidRDefault="00E528AA">
      <w:pPr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</w:t>
      </w:r>
    </w:p>
    <w:p w:rsidR="00AF3628" w:rsidRDefault="00E528AA">
      <w:pPr>
        <w:jc w:val="both"/>
      </w:pPr>
      <w:r>
        <w:rPr>
          <w:sz w:val="16"/>
          <w:szCs w:val="16"/>
        </w:rPr>
        <w:t>Тел: 3-01-85</w:t>
      </w:r>
    </w:p>
    <w:p w:rsidR="00AF3628" w:rsidRDefault="00AF3628">
      <w:pPr>
        <w:jc w:val="both"/>
      </w:pPr>
    </w:p>
    <w:p w:rsidR="00AF3628" w:rsidRDefault="00AF3628">
      <w:pPr>
        <w:jc w:val="both"/>
      </w:pPr>
    </w:p>
    <w:p w:rsidR="00AF3628" w:rsidRDefault="00AF3628"/>
    <w:sectPr w:rsidR="00AF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CE" w:rsidRDefault="00E51ECE">
      <w:r>
        <w:separator/>
      </w:r>
    </w:p>
  </w:endnote>
  <w:endnote w:type="continuationSeparator" w:id="0">
    <w:p w:rsidR="00E51ECE" w:rsidRDefault="00E5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CE" w:rsidRDefault="00E51ECE">
      <w:r>
        <w:separator/>
      </w:r>
    </w:p>
  </w:footnote>
  <w:footnote w:type="continuationSeparator" w:id="0">
    <w:p w:rsidR="00E51ECE" w:rsidRDefault="00E5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ED5582"/>
    <w:multiLevelType w:val="singleLevel"/>
    <w:tmpl w:val="ECED558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23B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3628"/>
    <w:rsid w:val="00AF66C1"/>
    <w:rsid w:val="00B14B01"/>
    <w:rsid w:val="00B4250A"/>
    <w:rsid w:val="00B47F2F"/>
    <w:rsid w:val="00B576CE"/>
    <w:rsid w:val="00B873AE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1ECE"/>
    <w:rsid w:val="00E528AA"/>
    <w:rsid w:val="00E54A6C"/>
    <w:rsid w:val="00E856F9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D5F2A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20B6A0C"/>
    <w:rsid w:val="03324305"/>
    <w:rsid w:val="049A1952"/>
    <w:rsid w:val="04CB5C0F"/>
    <w:rsid w:val="07565959"/>
    <w:rsid w:val="078C5C7C"/>
    <w:rsid w:val="08FC07D5"/>
    <w:rsid w:val="09CC5248"/>
    <w:rsid w:val="09DB443A"/>
    <w:rsid w:val="0A12744D"/>
    <w:rsid w:val="0A954C1D"/>
    <w:rsid w:val="0A9A02B7"/>
    <w:rsid w:val="0BAD643E"/>
    <w:rsid w:val="0C3F2584"/>
    <w:rsid w:val="0E173E74"/>
    <w:rsid w:val="10CA1DD4"/>
    <w:rsid w:val="10D06320"/>
    <w:rsid w:val="15184E62"/>
    <w:rsid w:val="16A01D96"/>
    <w:rsid w:val="19004CB8"/>
    <w:rsid w:val="192C6A4C"/>
    <w:rsid w:val="19461258"/>
    <w:rsid w:val="1A8D2C3C"/>
    <w:rsid w:val="1C0B5E84"/>
    <w:rsid w:val="1DA9696D"/>
    <w:rsid w:val="1F941D5C"/>
    <w:rsid w:val="2034270F"/>
    <w:rsid w:val="22374451"/>
    <w:rsid w:val="25C250DF"/>
    <w:rsid w:val="25CA2F31"/>
    <w:rsid w:val="26F30483"/>
    <w:rsid w:val="27124701"/>
    <w:rsid w:val="28AA39B4"/>
    <w:rsid w:val="295040A5"/>
    <w:rsid w:val="297F2DE0"/>
    <w:rsid w:val="2AFF69E6"/>
    <w:rsid w:val="2CBC6D69"/>
    <w:rsid w:val="32382656"/>
    <w:rsid w:val="335539D4"/>
    <w:rsid w:val="36B6016C"/>
    <w:rsid w:val="378D35C7"/>
    <w:rsid w:val="382A6852"/>
    <w:rsid w:val="384640E7"/>
    <w:rsid w:val="39D97FB9"/>
    <w:rsid w:val="3A5F420A"/>
    <w:rsid w:val="3A96279E"/>
    <w:rsid w:val="3D0612AD"/>
    <w:rsid w:val="3D8B05EC"/>
    <w:rsid w:val="40CA710D"/>
    <w:rsid w:val="463C08B0"/>
    <w:rsid w:val="465256C2"/>
    <w:rsid w:val="46692860"/>
    <w:rsid w:val="4BA83C99"/>
    <w:rsid w:val="4CC052CA"/>
    <w:rsid w:val="4D0D2451"/>
    <w:rsid w:val="4D33729A"/>
    <w:rsid w:val="4D9549A9"/>
    <w:rsid w:val="4EF5701C"/>
    <w:rsid w:val="51563DA8"/>
    <w:rsid w:val="57137968"/>
    <w:rsid w:val="591A396D"/>
    <w:rsid w:val="5B3364F7"/>
    <w:rsid w:val="5CA859DC"/>
    <w:rsid w:val="5D4473FE"/>
    <w:rsid w:val="5D4D31C5"/>
    <w:rsid w:val="5E1638BB"/>
    <w:rsid w:val="5EE46053"/>
    <w:rsid w:val="63522A57"/>
    <w:rsid w:val="68C739C0"/>
    <w:rsid w:val="69B47286"/>
    <w:rsid w:val="6A057119"/>
    <w:rsid w:val="6B3E5CD0"/>
    <w:rsid w:val="6BB5434B"/>
    <w:rsid w:val="6BF308E7"/>
    <w:rsid w:val="6DC17722"/>
    <w:rsid w:val="71864485"/>
    <w:rsid w:val="72603668"/>
    <w:rsid w:val="738B5D82"/>
    <w:rsid w:val="73F45B6E"/>
    <w:rsid w:val="78D47E5A"/>
    <w:rsid w:val="7B791B73"/>
    <w:rsid w:val="7C460A98"/>
    <w:rsid w:val="7C6C7FDD"/>
    <w:rsid w:val="7E4D25B2"/>
    <w:rsid w:val="7E5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2E73-EFB8-430F-AD7A-17B5A000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2024</Words>
  <Characters>11539</Characters>
  <Application>Microsoft Office Word</Application>
  <DocSecurity>0</DocSecurity>
  <Lines>96</Lines>
  <Paragraphs>27</Paragraphs>
  <ScaleCrop>false</ScaleCrop>
  <Company/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71</cp:revision>
  <cp:lastPrinted>2021-02-17T06:25:00Z</cp:lastPrinted>
  <dcterms:created xsi:type="dcterms:W3CDTF">2018-01-31T10:26:00Z</dcterms:created>
  <dcterms:modified xsi:type="dcterms:W3CDTF">2022-06-14T06:45:00Z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E898CC482F94482E960113C236035256</vt:lpwstr>
  </property>
</Properties>
</file>