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C" w:rsidRDefault="00B026A6" w:rsidP="00475001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t xml:space="preserve">  </w:t>
      </w:r>
      <w:r w:rsidR="00AD0936"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01" w:rsidRPr="00475001" w:rsidRDefault="00475001" w:rsidP="00AE2A2C">
      <w:pPr>
        <w:jc w:val="center"/>
        <w:rPr>
          <w:b/>
          <w:sz w:val="40"/>
          <w:szCs w:val="40"/>
        </w:rPr>
      </w:pPr>
      <w:r w:rsidRPr="00475001">
        <w:rPr>
          <w:b/>
          <w:sz w:val="40"/>
          <w:szCs w:val="40"/>
        </w:rPr>
        <w:t>Ивановская область</w:t>
      </w:r>
    </w:p>
    <w:p w:rsidR="00475001" w:rsidRPr="00475001" w:rsidRDefault="00475001" w:rsidP="00AE2A2C">
      <w:pPr>
        <w:jc w:val="center"/>
        <w:rPr>
          <w:b/>
          <w:sz w:val="40"/>
          <w:szCs w:val="40"/>
        </w:rPr>
      </w:pPr>
      <w:r w:rsidRPr="00475001">
        <w:rPr>
          <w:b/>
          <w:sz w:val="40"/>
          <w:szCs w:val="40"/>
        </w:rPr>
        <w:t>Контрольно-счетная комиссия</w:t>
      </w:r>
    </w:p>
    <w:p w:rsidR="00475001" w:rsidRDefault="0096251E" w:rsidP="00AE2A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="00475001" w:rsidRPr="00475001">
        <w:rPr>
          <w:b/>
          <w:sz w:val="40"/>
          <w:szCs w:val="40"/>
        </w:rPr>
        <w:t>ородского округа Вичуга</w:t>
      </w:r>
    </w:p>
    <w:p w:rsidR="00475001" w:rsidRDefault="00475001" w:rsidP="00475001">
      <w:pPr>
        <w:spacing w:line="360" w:lineRule="auto"/>
        <w:jc w:val="center"/>
        <w:rPr>
          <w:b/>
          <w:sz w:val="40"/>
          <w:szCs w:val="40"/>
        </w:rPr>
      </w:pPr>
    </w:p>
    <w:p w:rsidR="00475001" w:rsidRPr="00AE2A2C" w:rsidRDefault="00475001" w:rsidP="00AE2A2C">
      <w:pPr>
        <w:jc w:val="center"/>
        <w:rPr>
          <w:sz w:val="20"/>
          <w:szCs w:val="20"/>
        </w:rPr>
      </w:pPr>
      <w:r w:rsidRPr="00AE2A2C">
        <w:rPr>
          <w:sz w:val="20"/>
          <w:szCs w:val="20"/>
        </w:rPr>
        <w:t>155331, Ивановская область, г. Вичуга, ул. 50 лет Октября, д.19, офис 302.</w:t>
      </w:r>
    </w:p>
    <w:p w:rsidR="00AE2A2C" w:rsidRPr="00AE2A2C" w:rsidRDefault="00475001" w:rsidP="00AE2A2C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E2A2C">
        <w:rPr>
          <w:sz w:val="20"/>
          <w:szCs w:val="20"/>
        </w:rPr>
        <w:t>Тел (49354) 3-70-</w:t>
      </w:r>
      <w:r w:rsidR="00AE2A2C" w:rsidRPr="00AE2A2C">
        <w:rPr>
          <w:sz w:val="20"/>
          <w:szCs w:val="20"/>
        </w:rPr>
        <w:t>84, 3-70-83</w:t>
      </w:r>
      <w:r w:rsidRPr="00AE2A2C">
        <w:rPr>
          <w:sz w:val="20"/>
          <w:szCs w:val="20"/>
        </w:rPr>
        <w:t xml:space="preserve">   </w:t>
      </w:r>
      <w:r w:rsidR="00AE2A2C" w:rsidRPr="00AE2A2C">
        <w:rPr>
          <w:sz w:val="20"/>
          <w:szCs w:val="20"/>
        </w:rPr>
        <w:t xml:space="preserve">   Е-mail: </w:t>
      </w:r>
      <w:r w:rsidR="00AE2A2C" w:rsidRPr="00AE2A2C">
        <w:rPr>
          <w:sz w:val="20"/>
          <w:szCs w:val="20"/>
          <w:lang w:val="en-US"/>
        </w:rPr>
        <w:t>kskgovichuga</w:t>
      </w:r>
      <w:r w:rsidR="00AE2A2C" w:rsidRPr="00AE2A2C">
        <w:rPr>
          <w:sz w:val="20"/>
          <w:szCs w:val="20"/>
        </w:rPr>
        <w:t>@mail.ru</w:t>
      </w:r>
    </w:p>
    <w:p w:rsidR="00475001" w:rsidRPr="00AE2A2C" w:rsidRDefault="00AE2A2C" w:rsidP="00AE2A2C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  <w:r w:rsidRPr="00AE2A2C">
        <w:rPr>
          <w:sz w:val="20"/>
          <w:szCs w:val="20"/>
        </w:rPr>
        <w:t xml:space="preserve">ОГРН 1123701000697  ОКПО 37338107   ИНН 3701047637   КПП </w:t>
      </w:r>
      <w:r w:rsidRPr="00AE2A2C">
        <w:rPr>
          <w:sz w:val="20"/>
          <w:szCs w:val="20"/>
          <w:lang w:val="en-US"/>
        </w:rPr>
        <w:t>370101001</w:t>
      </w:r>
    </w:p>
    <w:p w:rsidR="004E5FBF" w:rsidRDefault="004E5FBF" w:rsidP="00774D9F">
      <w:pPr>
        <w:rPr>
          <w:b/>
        </w:rPr>
      </w:pPr>
    </w:p>
    <w:p w:rsidR="0096251E" w:rsidRPr="0096251E" w:rsidRDefault="0096251E" w:rsidP="0096251E">
      <w:pPr>
        <w:jc w:val="center"/>
        <w:rPr>
          <w:b/>
        </w:rPr>
      </w:pPr>
      <w:r w:rsidRPr="0096251E">
        <w:rPr>
          <w:b/>
        </w:rPr>
        <w:t>Заключение</w:t>
      </w:r>
    </w:p>
    <w:p w:rsidR="00C432E1" w:rsidRDefault="006227DB" w:rsidP="006227DB">
      <w:pPr>
        <w:jc w:val="center"/>
        <w:rPr>
          <w:b/>
        </w:rPr>
      </w:pPr>
      <w:r>
        <w:rPr>
          <w:b/>
        </w:rPr>
        <w:t xml:space="preserve">Контрольно-счетной комиссии городского округа Вичуга </w:t>
      </w:r>
      <w:r w:rsidR="0096251E" w:rsidRPr="0096251E">
        <w:rPr>
          <w:b/>
        </w:rPr>
        <w:t xml:space="preserve">на проект решения  городской  Думы городского округа Вичуга № </w:t>
      </w:r>
      <w:r w:rsidR="003A6E46">
        <w:rPr>
          <w:b/>
        </w:rPr>
        <w:t>71</w:t>
      </w:r>
      <w:r w:rsidR="00CA3938">
        <w:rPr>
          <w:b/>
        </w:rPr>
        <w:t xml:space="preserve"> </w:t>
      </w:r>
      <w:r w:rsidR="0096251E" w:rsidRPr="0096251E">
        <w:rPr>
          <w:b/>
        </w:rPr>
        <w:t xml:space="preserve"> «</w:t>
      </w:r>
      <w:r w:rsidR="00CA3938">
        <w:rPr>
          <w:b/>
        </w:rPr>
        <w:t xml:space="preserve">О </w:t>
      </w:r>
      <w:r>
        <w:rPr>
          <w:b/>
        </w:rPr>
        <w:t>бюджете городского округа Вичуга на 201</w:t>
      </w:r>
      <w:r w:rsidR="003A6E46">
        <w:rPr>
          <w:b/>
        </w:rPr>
        <w:t>5</w:t>
      </w:r>
      <w:r>
        <w:rPr>
          <w:b/>
        </w:rPr>
        <w:t xml:space="preserve"> год и плановый период 201</w:t>
      </w:r>
      <w:r w:rsidR="003A6E46">
        <w:rPr>
          <w:b/>
        </w:rPr>
        <w:t>6</w:t>
      </w:r>
      <w:r>
        <w:rPr>
          <w:b/>
        </w:rPr>
        <w:t xml:space="preserve"> и 201</w:t>
      </w:r>
      <w:r w:rsidR="003A6E46">
        <w:rPr>
          <w:b/>
        </w:rPr>
        <w:t>7</w:t>
      </w:r>
      <w:r>
        <w:rPr>
          <w:b/>
        </w:rPr>
        <w:t xml:space="preserve"> годов».</w:t>
      </w:r>
    </w:p>
    <w:p w:rsidR="00CF1FA0" w:rsidRDefault="00CF1FA0" w:rsidP="002B745A">
      <w:pPr>
        <w:rPr>
          <w:b/>
        </w:rPr>
      </w:pPr>
    </w:p>
    <w:p w:rsidR="003737C3" w:rsidRDefault="003737C3" w:rsidP="003737C3">
      <w:pPr>
        <w:jc w:val="center"/>
        <w:rPr>
          <w:b/>
        </w:rPr>
      </w:pPr>
      <w:r>
        <w:rPr>
          <w:b/>
        </w:rPr>
        <w:t>«2</w:t>
      </w:r>
      <w:r w:rsidR="003A6E46">
        <w:rPr>
          <w:b/>
        </w:rPr>
        <w:t>4</w:t>
      </w:r>
      <w:r>
        <w:rPr>
          <w:b/>
        </w:rPr>
        <w:t>» ноября 201</w:t>
      </w:r>
      <w:r w:rsidR="003A6E46">
        <w:rPr>
          <w:b/>
        </w:rPr>
        <w:t>4</w:t>
      </w:r>
      <w:r>
        <w:rPr>
          <w:b/>
        </w:rPr>
        <w:t>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г. Вичуга</w:t>
      </w:r>
    </w:p>
    <w:p w:rsidR="004E5FBF" w:rsidRDefault="004E5FBF" w:rsidP="0096251E">
      <w:pPr>
        <w:jc w:val="both"/>
        <w:rPr>
          <w:b/>
        </w:rPr>
      </w:pPr>
    </w:p>
    <w:p w:rsidR="006227DB" w:rsidRPr="00257F72" w:rsidRDefault="006227DB" w:rsidP="0096251E">
      <w:pPr>
        <w:jc w:val="both"/>
      </w:pPr>
      <w:r>
        <w:rPr>
          <w:b/>
        </w:rPr>
        <w:tab/>
      </w:r>
      <w:r w:rsidRPr="00257F72">
        <w:t xml:space="preserve">Настоящее заключение подготовлено Контрольно-счетной комиссией городского округа Вичуга в соответствии </w:t>
      </w:r>
      <w:r w:rsidR="00EB2D14" w:rsidRPr="00257F72">
        <w:t xml:space="preserve">с Бюджетным Кодексом Российской Федерации (далее БК РФ), Уставом городского округа Вичуга,  </w:t>
      </w:r>
      <w:r w:rsidRPr="00257F72">
        <w:t xml:space="preserve">с п. </w:t>
      </w:r>
      <w:r w:rsidR="002519F2" w:rsidRPr="00257F72">
        <w:t>5</w:t>
      </w:r>
      <w:r w:rsidRPr="00257F72">
        <w:t xml:space="preserve"> ст. 7 </w:t>
      </w:r>
      <w:r w:rsidR="002519F2" w:rsidRPr="00257F72">
        <w:t>П</w:t>
      </w:r>
      <w:r w:rsidRPr="00257F72">
        <w:t>оложени</w:t>
      </w:r>
      <w:r w:rsidR="002519F2" w:rsidRPr="00257F72">
        <w:t>я</w:t>
      </w:r>
      <w:r w:rsidRPr="00257F72">
        <w:t xml:space="preserve"> о бюджетном процессе в городском округе Вичуга утвержд</w:t>
      </w:r>
      <w:r w:rsidR="002519F2" w:rsidRPr="00257F72">
        <w:t>е</w:t>
      </w:r>
      <w:r w:rsidRPr="00257F72">
        <w:t xml:space="preserve">нного решением городской Думы городского округа Вичуга от 26.05.2011 г. № 53 «Об утверждении </w:t>
      </w:r>
      <w:r w:rsidR="002519F2" w:rsidRPr="00257F72">
        <w:t>П</w:t>
      </w:r>
      <w:r w:rsidRPr="00257F72">
        <w:t>оложения о бюджетном процессе в городском округе Вичуга».</w:t>
      </w:r>
    </w:p>
    <w:p w:rsidR="006227DB" w:rsidRPr="00257F72" w:rsidRDefault="00E54641" w:rsidP="0096251E">
      <w:pPr>
        <w:jc w:val="both"/>
      </w:pPr>
      <w:r w:rsidRPr="00257F72">
        <w:tab/>
        <w:t>Проект бюджета на 201</w:t>
      </w:r>
      <w:r w:rsidR="00E83719" w:rsidRPr="00257F72">
        <w:t>5</w:t>
      </w:r>
      <w:r w:rsidRPr="00257F72">
        <w:t xml:space="preserve"> год и плановый период 201</w:t>
      </w:r>
      <w:r w:rsidR="00E83719" w:rsidRPr="00257F72">
        <w:t>6</w:t>
      </w:r>
      <w:r w:rsidRPr="00257F72">
        <w:t xml:space="preserve"> и 201</w:t>
      </w:r>
      <w:r w:rsidR="00E83719" w:rsidRPr="00257F72">
        <w:t>7</w:t>
      </w:r>
      <w:r w:rsidRPr="00257F72">
        <w:t xml:space="preserve"> годов подготовлен в соответствии с Порядком составления проекта бюджета городского округа Вичуга на очередной финансовый год и плановый период, утвержденного Постановлением администрации городского округа Вичуга от </w:t>
      </w:r>
      <w:r w:rsidR="00E83719" w:rsidRPr="00257F72">
        <w:t>15</w:t>
      </w:r>
      <w:r w:rsidRPr="00257F72">
        <w:t>.0</w:t>
      </w:r>
      <w:r w:rsidR="00E83719" w:rsidRPr="00257F72">
        <w:t>8</w:t>
      </w:r>
      <w:r w:rsidRPr="00257F72">
        <w:t>.201</w:t>
      </w:r>
      <w:r w:rsidR="00E83719" w:rsidRPr="00257F72">
        <w:t>4</w:t>
      </w:r>
      <w:r w:rsidRPr="00257F72">
        <w:t>г. №</w:t>
      </w:r>
      <w:r w:rsidR="00E83719" w:rsidRPr="00257F72">
        <w:t>1023</w:t>
      </w:r>
      <w:r w:rsidRPr="00257F72">
        <w:t>.</w:t>
      </w:r>
      <w:r w:rsidR="006227DB" w:rsidRPr="00257F72">
        <w:t xml:space="preserve"> </w:t>
      </w:r>
    </w:p>
    <w:p w:rsidR="00AB20BD" w:rsidRPr="00DB7BDE" w:rsidRDefault="006227DB" w:rsidP="00110F35">
      <w:pPr>
        <w:jc w:val="both"/>
      </w:pPr>
      <w:r w:rsidRPr="00257F72">
        <w:rPr>
          <w:b/>
        </w:rPr>
        <w:tab/>
        <w:t xml:space="preserve"> </w:t>
      </w:r>
      <w:r w:rsidRPr="00257F72">
        <w:t>Проект бюджета городского округа Вичуга на 201</w:t>
      </w:r>
      <w:r w:rsidR="00E83719" w:rsidRPr="00257F72">
        <w:t>5</w:t>
      </w:r>
      <w:r w:rsidRPr="00257F72">
        <w:t xml:space="preserve"> год и на плановый период 201</w:t>
      </w:r>
      <w:r w:rsidR="00E83719" w:rsidRPr="00257F72">
        <w:t>6</w:t>
      </w:r>
      <w:r w:rsidRPr="00257F72">
        <w:t xml:space="preserve"> и 201</w:t>
      </w:r>
      <w:r w:rsidR="00E83719" w:rsidRPr="00257F72">
        <w:t>7</w:t>
      </w:r>
      <w:r w:rsidRPr="00257F72">
        <w:t xml:space="preserve"> годов внес</w:t>
      </w:r>
      <w:r w:rsidR="008132B3" w:rsidRPr="00257F72">
        <w:t>е</w:t>
      </w:r>
      <w:r w:rsidRPr="00257F72">
        <w:t>н на рассмотрение городской Думой</w:t>
      </w:r>
      <w:r w:rsidR="006C6DAC" w:rsidRPr="00257F72">
        <w:t xml:space="preserve"> городского округа Вичуга </w:t>
      </w:r>
      <w:r w:rsidR="00B00250" w:rsidRPr="00257F72">
        <w:t>1</w:t>
      </w:r>
      <w:r w:rsidR="002F028D" w:rsidRPr="00257F72">
        <w:t>0</w:t>
      </w:r>
      <w:r w:rsidR="00B00250" w:rsidRPr="00257F72">
        <w:t>.11.201</w:t>
      </w:r>
      <w:r w:rsidR="000A41FF" w:rsidRPr="00257F72">
        <w:t>4</w:t>
      </w:r>
      <w:r w:rsidR="00B00250" w:rsidRPr="00257F72">
        <w:t xml:space="preserve">г. </w:t>
      </w:r>
      <w:r w:rsidR="006C6DAC" w:rsidRPr="00257F72">
        <w:t xml:space="preserve">в срок, </w:t>
      </w:r>
      <w:r w:rsidR="00B00250" w:rsidRPr="00257F72">
        <w:t xml:space="preserve"> </w:t>
      </w:r>
      <w:r w:rsidR="006C6DAC" w:rsidRPr="00257F72">
        <w:t>установленный ст. 185 Бюджетного</w:t>
      </w:r>
      <w:r w:rsidR="00EB2D14" w:rsidRPr="00257F72">
        <w:t xml:space="preserve"> кодекса Российской Федерации. </w:t>
      </w:r>
      <w:r w:rsidR="006C6DAC" w:rsidRPr="00257F72">
        <w:t>Объем представленных материалов соответствует ст. ст. 184.1 и 184.2 Бюджетного кодекса Ро</w:t>
      </w:r>
      <w:r w:rsidR="00197D09" w:rsidRPr="00257F72">
        <w:t xml:space="preserve">ссийской Федерации, а также </w:t>
      </w:r>
      <w:r w:rsidR="006C6DAC" w:rsidRPr="00257F72">
        <w:t xml:space="preserve"> ст. 14 </w:t>
      </w:r>
      <w:r w:rsidR="00197D09" w:rsidRPr="00257F72">
        <w:t>П</w:t>
      </w:r>
      <w:r w:rsidR="006C6DAC" w:rsidRPr="00257F72">
        <w:t>оложения о бюджетном пр</w:t>
      </w:r>
      <w:r w:rsidR="003B2EC9" w:rsidRPr="00257F72">
        <w:t>оцессе городского округа Вичуга</w:t>
      </w:r>
      <w:r w:rsidR="00AB20BD" w:rsidRPr="00257F72">
        <w:t>.</w:t>
      </w:r>
    </w:p>
    <w:p w:rsidR="00110F35" w:rsidRPr="002B3B12" w:rsidRDefault="006C6DAC" w:rsidP="00110F35">
      <w:pPr>
        <w:jc w:val="both"/>
        <w:rPr>
          <w:b/>
        </w:rPr>
      </w:pPr>
      <w:r w:rsidRPr="00DB7BDE">
        <w:rPr>
          <w:b/>
        </w:rPr>
        <w:tab/>
        <w:t xml:space="preserve"> </w:t>
      </w:r>
      <w:r w:rsidRPr="009C7C14">
        <w:rPr>
          <w:b/>
        </w:rPr>
        <w:t>Вместе с тем экспертиз</w:t>
      </w:r>
      <w:r w:rsidR="00185FE7" w:rsidRPr="009C7C14">
        <w:rPr>
          <w:b/>
        </w:rPr>
        <w:t>ой</w:t>
      </w:r>
      <w:r w:rsidRPr="009C7C14">
        <w:rPr>
          <w:b/>
        </w:rPr>
        <w:t xml:space="preserve"> </w:t>
      </w:r>
      <w:r w:rsidR="00D03F2F" w:rsidRPr="009C7C14">
        <w:rPr>
          <w:b/>
        </w:rPr>
        <w:t>отмечается, что необходима более точная увязка проекта бюджета с Прогноз</w:t>
      </w:r>
      <w:r w:rsidR="00456867" w:rsidRPr="009C7C14">
        <w:rPr>
          <w:b/>
        </w:rPr>
        <w:t>ом</w:t>
      </w:r>
      <w:r w:rsidR="00D03F2F" w:rsidRPr="009C7C14">
        <w:rPr>
          <w:b/>
        </w:rPr>
        <w:t xml:space="preserve"> социально-экономического развития и </w:t>
      </w:r>
      <w:r w:rsidR="00257F72">
        <w:rPr>
          <w:b/>
        </w:rPr>
        <w:t>Стратегией развития городского округа Вичуга до 2020 года.</w:t>
      </w:r>
    </w:p>
    <w:p w:rsidR="00D03F2F" w:rsidRPr="000E63B2" w:rsidRDefault="00D03F2F" w:rsidP="00110F35">
      <w:pPr>
        <w:jc w:val="both"/>
      </w:pPr>
      <w:r w:rsidRPr="00DB7BDE">
        <w:tab/>
      </w:r>
      <w:r w:rsidRPr="000E63B2">
        <w:t>Учитывая, что выявленные недостатки при формировании проекта бюджета не повлекут корректировок основных характеристик бюджета, Контрольно-счетная комиссия городского округа Вичуга предлагает:</w:t>
      </w:r>
    </w:p>
    <w:p w:rsidR="00D03F2F" w:rsidRPr="000E63B2" w:rsidRDefault="00D03F2F" w:rsidP="00110F35">
      <w:pPr>
        <w:jc w:val="both"/>
      </w:pPr>
      <w:r w:rsidRPr="000E63B2">
        <w:t>- принять проект решения городской Думы городского округа Вичуга «О бюджете городского округа Вичуга на 201</w:t>
      </w:r>
      <w:r w:rsidR="0082196A" w:rsidRPr="000E63B2">
        <w:t>5</w:t>
      </w:r>
      <w:r w:rsidRPr="000E63B2">
        <w:t xml:space="preserve"> год и плановый период 201</w:t>
      </w:r>
      <w:r w:rsidR="0082196A" w:rsidRPr="000E63B2">
        <w:t>6</w:t>
      </w:r>
      <w:r w:rsidRPr="000E63B2">
        <w:t xml:space="preserve"> и 201</w:t>
      </w:r>
      <w:r w:rsidR="0082196A" w:rsidRPr="000E63B2">
        <w:t>7</w:t>
      </w:r>
      <w:r w:rsidRPr="000E63B2">
        <w:t xml:space="preserve"> годов»;</w:t>
      </w:r>
    </w:p>
    <w:p w:rsidR="000E63B2" w:rsidRDefault="00D03F2F" w:rsidP="00110F35">
      <w:pPr>
        <w:jc w:val="both"/>
      </w:pPr>
      <w:r w:rsidRPr="000E63B2">
        <w:t>- администрации городского округа Вичуга учесть замечания и предложения Контрольно-счетной ко</w:t>
      </w:r>
      <w:r w:rsidR="00DC4AA6" w:rsidRPr="000E63B2">
        <w:t>миссии городского округа Вичуга.</w:t>
      </w:r>
    </w:p>
    <w:p w:rsidR="000E63B2" w:rsidRDefault="000E63B2" w:rsidP="00110F35">
      <w:pPr>
        <w:jc w:val="both"/>
      </w:pPr>
    </w:p>
    <w:p w:rsidR="002B745A" w:rsidRDefault="002B745A" w:rsidP="00110F35">
      <w:pPr>
        <w:jc w:val="both"/>
      </w:pPr>
    </w:p>
    <w:p w:rsidR="002B745A" w:rsidRPr="00DB7BDE" w:rsidRDefault="002B745A" w:rsidP="00110F35">
      <w:pPr>
        <w:jc w:val="both"/>
      </w:pPr>
    </w:p>
    <w:p w:rsidR="004B56D3" w:rsidRPr="00DB7BDE" w:rsidRDefault="004B56D3" w:rsidP="004B56D3">
      <w:pPr>
        <w:jc w:val="center"/>
        <w:rPr>
          <w:b/>
        </w:rPr>
      </w:pPr>
      <w:r w:rsidRPr="00DB7BDE">
        <w:rPr>
          <w:b/>
        </w:rPr>
        <w:lastRenderedPageBreak/>
        <w:t xml:space="preserve">Анализ </w:t>
      </w:r>
      <w:r w:rsidRPr="000E63B2">
        <w:rPr>
          <w:b/>
        </w:rPr>
        <w:t>те</w:t>
      </w:r>
      <w:r w:rsidR="000E63B2" w:rsidRPr="000E63B2">
        <w:rPr>
          <w:b/>
        </w:rPr>
        <w:t>к</w:t>
      </w:r>
      <w:r w:rsidRPr="000E63B2">
        <w:rPr>
          <w:b/>
        </w:rPr>
        <w:t>стовых</w:t>
      </w:r>
      <w:r w:rsidRPr="00DB7BDE">
        <w:rPr>
          <w:b/>
        </w:rPr>
        <w:t xml:space="preserve"> статей проекта решения городской Думы</w:t>
      </w:r>
    </w:p>
    <w:p w:rsidR="004B56D3" w:rsidRPr="00DB7BDE" w:rsidRDefault="004B56D3" w:rsidP="004B56D3">
      <w:pPr>
        <w:jc w:val="center"/>
        <w:rPr>
          <w:b/>
        </w:rPr>
      </w:pPr>
      <w:r w:rsidRPr="00DB7BDE">
        <w:rPr>
          <w:b/>
        </w:rPr>
        <w:t xml:space="preserve"> городского округа Вичуга «О бюджете городского округа Вичуга на 201</w:t>
      </w:r>
      <w:r w:rsidR="00670564">
        <w:rPr>
          <w:b/>
        </w:rPr>
        <w:t>5</w:t>
      </w:r>
      <w:r w:rsidRPr="00DB7BDE">
        <w:rPr>
          <w:b/>
        </w:rPr>
        <w:t xml:space="preserve"> год и плановый период 201</w:t>
      </w:r>
      <w:r w:rsidR="00670564">
        <w:rPr>
          <w:b/>
        </w:rPr>
        <w:t>6</w:t>
      </w:r>
      <w:r w:rsidRPr="00DB7BDE">
        <w:rPr>
          <w:b/>
        </w:rPr>
        <w:t xml:space="preserve"> и 201</w:t>
      </w:r>
      <w:r w:rsidR="00670564">
        <w:rPr>
          <w:b/>
        </w:rPr>
        <w:t>7</w:t>
      </w:r>
      <w:r w:rsidRPr="00DB7BDE">
        <w:rPr>
          <w:b/>
        </w:rPr>
        <w:t xml:space="preserve"> годов»</w:t>
      </w:r>
    </w:p>
    <w:p w:rsidR="009908B9" w:rsidRPr="00DB7BDE" w:rsidRDefault="009908B9" w:rsidP="00110F35">
      <w:pPr>
        <w:jc w:val="both"/>
      </w:pPr>
    </w:p>
    <w:p w:rsidR="004B56D3" w:rsidRPr="00D833DB" w:rsidRDefault="004B56D3" w:rsidP="00110F35">
      <w:pPr>
        <w:jc w:val="both"/>
      </w:pPr>
      <w:r w:rsidRPr="00DB7BDE">
        <w:tab/>
      </w:r>
      <w:r w:rsidRPr="00D833DB">
        <w:t>В проекте решения городской Думы городского округа Вичуга «О бюджете городского округа Вичуга на 201</w:t>
      </w:r>
      <w:r w:rsidR="00D5220B" w:rsidRPr="00D833DB">
        <w:t>5</w:t>
      </w:r>
      <w:r w:rsidRPr="00D833DB">
        <w:t xml:space="preserve"> год и плановый период 201</w:t>
      </w:r>
      <w:r w:rsidR="00D5220B" w:rsidRPr="00D833DB">
        <w:t>6</w:t>
      </w:r>
      <w:r w:rsidRPr="00D833DB">
        <w:t xml:space="preserve"> и 201</w:t>
      </w:r>
      <w:r w:rsidR="00D5220B" w:rsidRPr="00D833DB">
        <w:t>7</w:t>
      </w:r>
      <w:r w:rsidRPr="00D833DB">
        <w:t xml:space="preserve"> годов» соблюдены все требования ст. 184.1 Бюджетного кодекса Российской Федерации: отражены основные характеристики бюджета, закреплены доходные источники, утверждены перечни главных администраторов доходов бюджета и главных администраторов источников внутреннего финансирования дефицита бюджета.</w:t>
      </w:r>
    </w:p>
    <w:p w:rsidR="004B56D3" w:rsidRPr="00D833DB" w:rsidRDefault="004B56D3" w:rsidP="00110F35">
      <w:pPr>
        <w:jc w:val="both"/>
      </w:pPr>
      <w:r w:rsidRPr="00D833DB">
        <w:tab/>
        <w:t>В соответствии с п. 4 ст. 184.1 Бюджетного кодекса Российской Федерации внесены изменения в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</w:t>
      </w:r>
      <w:r w:rsidR="00015B34" w:rsidRPr="00D833DB">
        <w:t xml:space="preserve"> округа Вичуга на 201</w:t>
      </w:r>
      <w:r w:rsidR="00D5220B" w:rsidRPr="00D833DB">
        <w:t>5</w:t>
      </w:r>
      <w:r w:rsidR="00015B34" w:rsidRPr="00D833DB">
        <w:t xml:space="preserve"> и 201</w:t>
      </w:r>
      <w:r w:rsidR="00D5220B" w:rsidRPr="00D833DB">
        <w:t>6</w:t>
      </w:r>
      <w:r w:rsidR="00015B34" w:rsidRPr="00D833DB">
        <w:t xml:space="preserve"> годы, утвержденных решением городской Думы городского округа Вичуга от </w:t>
      </w:r>
      <w:r w:rsidR="00D5220B" w:rsidRPr="00D833DB">
        <w:t>19</w:t>
      </w:r>
      <w:r w:rsidR="00015B34" w:rsidRPr="00D833DB">
        <w:t>.12.201</w:t>
      </w:r>
      <w:r w:rsidR="00D5220B" w:rsidRPr="00D833DB">
        <w:t>3</w:t>
      </w:r>
      <w:r w:rsidR="00015B34" w:rsidRPr="00D833DB">
        <w:t xml:space="preserve"> № </w:t>
      </w:r>
      <w:r w:rsidR="00BC3827" w:rsidRPr="00D833DB">
        <w:t>11</w:t>
      </w:r>
      <w:r w:rsidR="00D5220B" w:rsidRPr="00D833DB">
        <w:t>5</w:t>
      </w:r>
      <w:r w:rsidR="00015B34" w:rsidRPr="00D833DB">
        <w:t xml:space="preserve"> «О бюджете городского округа Вичуга на 201</w:t>
      </w:r>
      <w:r w:rsidR="00545CFE" w:rsidRPr="00D833DB">
        <w:t>4</w:t>
      </w:r>
      <w:r w:rsidR="00015B34" w:rsidRPr="00D833DB">
        <w:t xml:space="preserve"> год и на плановый период 201</w:t>
      </w:r>
      <w:r w:rsidR="00545CFE" w:rsidRPr="00D833DB">
        <w:t>5</w:t>
      </w:r>
      <w:r w:rsidR="00015B34" w:rsidRPr="00D833DB">
        <w:t xml:space="preserve"> и 201</w:t>
      </w:r>
      <w:r w:rsidR="00545CFE" w:rsidRPr="00D833DB">
        <w:t>6</w:t>
      </w:r>
      <w:r w:rsidR="00015B34" w:rsidRPr="00D833DB">
        <w:t xml:space="preserve"> годов», и установлено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201</w:t>
      </w:r>
      <w:r w:rsidR="00545CFE" w:rsidRPr="00D833DB">
        <w:t>7</w:t>
      </w:r>
      <w:r w:rsidR="00015B34" w:rsidRPr="00D833DB">
        <w:t xml:space="preserve"> год.</w:t>
      </w:r>
    </w:p>
    <w:p w:rsidR="00FF2530" w:rsidRPr="00D833DB" w:rsidRDefault="00FF2530" w:rsidP="00FF2530">
      <w:pPr>
        <w:jc w:val="both"/>
      </w:pPr>
      <w:r w:rsidRPr="00D833DB">
        <w:tab/>
        <w:t>Согласно проекту Решения городской Думы городского округа Вичуга №71 «О бюджете городского округа Вичуга на 2015 и плановый период 2016 и 2017 годов» предлагается установить</w:t>
      </w:r>
      <w:r w:rsidR="00F336A7" w:rsidRPr="00D833DB">
        <w:t xml:space="preserve"> дифференцированные нормативы отчислений в бюджет городского округа Вичуга от акцизов на автомобильный и прямогонный бензин, дизельное топливо, моторные масла для дизельных и(или) карбюраторных (инжекторных) двигателей, производимые на территории РФ, подлежащих распределению между областным бюджетом и местными бюджетами на 2015 год и на плановый период 2016 и 2017 годов в сумме 23797289,0 рублей.</w:t>
      </w:r>
    </w:p>
    <w:p w:rsidR="00015B34" w:rsidRPr="00D833DB" w:rsidRDefault="00015B34" w:rsidP="00110F35">
      <w:pPr>
        <w:jc w:val="both"/>
      </w:pPr>
      <w:r w:rsidRPr="00D833DB">
        <w:tab/>
      </w:r>
      <w:r w:rsidR="00F336A7" w:rsidRPr="00D833DB">
        <w:t>В соответствии с</w:t>
      </w:r>
      <w:r w:rsidRPr="00D833DB">
        <w:t xml:space="preserve"> п. 3 ст. 184.1 Бюджетного кодекса Российской Федерации утвержден общий объем бюджетных ассигнований на исполнение публичных нормативных обязательств</w:t>
      </w:r>
      <w:r w:rsidR="00FB42A5" w:rsidRPr="00D833DB">
        <w:t>: на 201</w:t>
      </w:r>
      <w:r w:rsidR="00853935" w:rsidRPr="00D833DB">
        <w:t>5</w:t>
      </w:r>
      <w:r w:rsidR="00FB42A5" w:rsidRPr="00D833DB">
        <w:t xml:space="preserve"> год в сумме 0 рублей; на 201</w:t>
      </w:r>
      <w:r w:rsidR="00853935" w:rsidRPr="00D833DB">
        <w:t>6</w:t>
      </w:r>
      <w:r w:rsidR="00FB42A5" w:rsidRPr="00D833DB">
        <w:t xml:space="preserve"> год в сумме 0 рублей; на 201</w:t>
      </w:r>
      <w:r w:rsidR="00853935" w:rsidRPr="00D833DB">
        <w:t>7</w:t>
      </w:r>
      <w:r w:rsidR="00FB42A5" w:rsidRPr="00D833DB">
        <w:t xml:space="preserve"> год рублей.</w:t>
      </w:r>
    </w:p>
    <w:p w:rsidR="00FB42A5" w:rsidRPr="00D833DB" w:rsidRDefault="00FB42A5" w:rsidP="00110F35">
      <w:pPr>
        <w:jc w:val="both"/>
      </w:pPr>
      <w:r w:rsidRPr="00D833DB">
        <w:tab/>
        <w:t>Общий объем условно утверждаемых</w:t>
      </w:r>
      <w:r w:rsidR="00F0055E" w:rsidRPr="00D833DB">
        <w:t xml:space="preserve"> (утвержденных)</w:t>
      </w:r>
      <w:r w:rsidRPr="00D833DB">
        <w:t xml:space="preserve"> расходов соответствует ст. 184.1 Бюджетного кодекса Российской Федерации. На первый год плановог</w:t>
      </w:r>
      <w:r w:rsidR="00085660" w:rsidRPr="00D833DB">
        <w:t>о периода в объеме не менее 2,5</w:t>
      </w:r>
      <w:r w:rsidRPr="00D833DB">
        <w:t>% общего объема расходов бюджета</w:t>
      </w:r>
      <w:r w:rsidR="00F0055E" w:rsidRPr="00D833DB"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D833DB">
        <w:t xml:space="preserve"> на второй год планового периода в объеме не менее 5% общего объема расходов бюджета</w:t>
      </w:r>
      <w:r w:rsidR="00F0055E" w:rsidRPr="00D833DB"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</w:t>
      </w:r>
      <w:r w:rsidR="00AA50E0">
        <w:t>)</w:t>
      </w:r>
      <w:r w:rsidR="00F0055E" w:rsidRPr="00D833DB">
        <w:t xml:space="preserve">. Согласно проекту Решения </w:t>
      </w:r>
      <w:r w:rsidR="00635927" w:rsidRPr="00D833DB">
        <w:t>городской Думы городского округа Вичуга №</w:t>
      </w:r>
      <w:r w:rsidR="001A1449" w:rsidRPr="00D833DB">
        <w:t>71</w:t>
      </w:r>
      <w:r w:rsidR="00635927" w:rsidRPr="00D833DB">
        <w:t xml:space="preserve"> «</w:t>
      </w:r>
      <w:r w:rsidR="00F0055E" w:rsidRPr="00D833DB">
        <w:t>О бюджете городского округа Вичуга на 201</w:t>
      </w:r>
      <w:r w:rsidR="001A1449" w:rsidRPr="00D833DB">
        <w:t>5</w:t>
      </w:r>
      <w:r w:rsidR="00F0055E" w:rsidRPr="00D833DB">
        <w:t xml:space="preserve"> и плановый период 201</w:t>
      </w:r>
      <w:r w:rsidR="001A1449" w:rsidRPr="00D833DB">
        <w:t>6</w:t>
      </w:r>
      <w:r w:rsidR="00F0055E" w:rsidRPr="00D833DB">
        <w:t xml:space="preserve"> и 201</w:t>
      </w:r>
      <w:r w:rsidR="001A1449" w:rsidRPr="00D833DB">
        <w:t>7</w:t>
      </w:r>
      <w:r w:rsidR="00635927" w:rsidRPr="00D833DB">
        <w:t xml:space="preserve"> </w:t>
      </w:r>
      <w:r w:rsidR="00F0055E" w:rsidRPr="00D833DB">
        <w:t>годов</w:t>
      </w:r>
      <w:r w:rsidR="00635927" w:rsidRPr="00D833DB">
        <w:t>» предлагается</w:t>
      </w:r>
      <w:r w:rsidR="008F09AF" w:rsidRPr="00D833DB">
        <w:t xml:space="preserve"> </w:t>
      </w:r>
      <w:r w:rsidR="00635927" w:rsidRPr="00D833DB">
        <w:t xml:space="preserve">утвердить в пределах общего объема расходов бюджета городского округа общий объем условно утвержденных расходов: </w:t>
      </w:r>
    </w:p>
    <w:p w:rsidR="00635927" w:rsidRPr="00D833DB" w:rsidRDefault="00635927" w:rsidP="00110F35">
      <w:pPr>
        <w:jc w:val="both"/>
      </w:pPr>
      <w:r w:rsidRPr="00D833DB">
        <w:tab/>
        <w:t>- на 201</w:t>
      </w:r>
      <w:r w:rsidR="000B5DFD" w:rsidRPr="00D833DB">
        <w:t>6</w:t>
      </w:r>
      <w:r w:rsidRPr="00D833DB">
        <w:t xml:space="preserve"> год в сумме </w:t>
      </w:r>
      <w:r w:rsidR="000B5DFD" w:rsidRPr="00D833DB">
        <w:t>7511911,0</w:t>
      </w:r>
      <w:r w:rsidRPr="00D833DB">
        <w:t xml:space="preserve"> рублей;</w:t>
      </w:r>
    </w:p>
    <w:p w:rsidR="00635927" w:rsidRPr="00D833DB" w:rsidRDefault="00635927" w:rsidP="00110F35">
      <w:pPr>
        <w:jc w:val="both"/>
      </w:pPr>
      <w:r w:rsidRPr="00D833DB">
        <w:tab/>
        <w:t>- на 201</w:t>
      </w:r>
      <w:r w:rsidR="000B5DFD" w:rsidRPr="00D833DB">
        <w:t>7</w:t>
      </w:r>
      <w:r w:rsidRPr="00D833DB">
        <w:t xml:space="preserve"> год в сумме </w:t>
      </w:r>
      <w:r w:rsidR="000B5DFD" w:rsidRPr="00D833DB">
        <w:t>15259665,0</w:t>
      </w:r>
      <w:r w:rsidRPr="00D833DB">
        <w:t xml:space="preserve"> рублей.</w:t>
      </w:r>
    </w:p>
    <w:p w:rsidR="008F09AF" w:rsidRPr="00D833DB" w:rsidRDefault="008F09AF" w:rsidP="00110F35">
      <w:pPr>
        <w:jc w:val="both"/>
      </w:pPr>
      <w:r w:rsidRPr="00D833DB">
        <w:tab/>
        <w:t>Источниками внутреннего финансирования дефицита бюджета на 201</w:t>
      </w:r>
      <w:r w:rsidR="00111011" w:rsidRPr="00D833DB">
        <w:t>5</w:t>
      </w:r>
      <w:r w:rsidRPr="00D833DB">
        <w:t>-201</w:t>
      </w:r>
      <w:r w:rsidR="00111011" w:rsidRPr="00D833DB">
        <w:t>7</w:t>
      </w:r>
      <w:r w:rsidRPr="00D833DB">
        <w:t xml:space="preserve"> годы определены кредиты в кредитных организациях, что соответствует бюджетному законодательству</w:t>
      </w:r>
      <w:r w:rsidR="00EC08F3" w:rsidRPr="00D833DB">
        <w:t xml:space="preserve">. </w:t>
      </w:r>
      <w:r w:rsidR="00A566B6" w:rsidRPr="00D833DB">
        <w:t xml:space="preserve"> </w:t>
      </w:r>
      <w:r w:rsidR="00EC08F3" w:rsidRPr="00D833DB">
        <w:t xml:space="preserve">Также проектом определено, что </w:t>
      </w:r>
      <w:r w:rsidR="000E37C4" w:rsidRPr="00D833DB">
        <w:t xml:space="preserve">в случае </w:t>
      </w:r>
      <w:r w:rsidR="00111011" w:rsidRPr="00D833DB">
        <w:t xml:space="preserve">временных </w:t>
      </w:r>
      <w:r w:rsidR="000E37C4" w:rsidRPr="00D833DB">
        <w:t>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</w:r>
    </w:p>
    <w:p w:rsidR="00C45555" w:rsidRPr="00D833DB" w:rsidRDefault="00C45555" w:rsidP="00110F35">
      <w:pPr>
        <w:jc w:val="both"/>
      </w:pPr>
      <w:r w:rsidRPr="00D833DB">
        <w:lastRenderedPageBreak/>
        <w:tab/>
        <w:t>Верхний предел муниципального долга соответствует требованиям п.3 ст. 107 Бюджетного кодекса Российской Федерации, а объем расходов на обслуживание муниципального долга – ст.</w:t>
      </w:r>
      <w:r w:rsidR="00B3194F" w:rsidRPr="00D833DB">
        <w:t xml:space="preserve"> 111 Бюджетного кодекса Российской Федерации.</w:t>
      </w:r>
    </w:p>
    <w:p w:rsidR="00380415" w:rsidRPr="00D833DB" w:rsidRDefault="00B3194F" w:rsidP="00110F35">
      <w:pPr>
        <w:jc w:val="both"/>
      </w:pPr>
      <w:r w:rsidRPr="00D833DB">
        <w:tab/>
        <w:t xml:space="preserve">Программа муниципальных внутренних </w:t>
      </w:r>
      <w:r w:rsidR="00A94E26" w:rsidRPr="00D833DB">
        <w:t>заимствований включает один вид заимствования – кредиты в кредитных организациях. Объем заимствований в 201</w:t>
      </w:r>
      <w:r w:rsidR="009C475E" w:rsidRPr="00D833DB">
        <w:t>5</w:t>
      </w:r>
      <w:r w:rsidR="00A94E26" w:rsidRPr="00D833DB">
        <w:t xml:space="preserve"> году соответствует сумме дефицита бюджета, </w:t>
      </w:r>
      <w:r w:rsidR="00DF2BC0" w:rsidRPr="00D833DB">
        <w:t>в 201</w:t>
      </w:r>
      <w:r w:rsidR="009C475E" w:rsidRPr="00D833DB">
        <w:t>6</w:t>
      </w:r>
      <w:r w:rsidR="00DF2BC0" w:rsidRPr="00D833DB">
        <w:t xml:space="preserve"> </w:t>
      </w:r>
      <w:r w:rsidR="00602532" w:rsidRPr="00D833DB">
        <w:t>–</w:t>
      </w:r>
      <w:r w:rsidR="00DF2BC0" w:rsidRPr="00D833DB">
        <w:t xml:space="preserve"> </w:t>
      </w:r>
      <w:r w:rsidR="00290F0F" w:rsidRPr="00D833DB">
        <w:t>201</w:t>
      </w:r>
      <w:r w:rsidR="009C475E" w:rsidRPr="00D833DB">
        <w:t>7</w:t>
      </w:r>
      <w:r w:rsidR="00602532" w:rsidRPr="00D833DB">
        <w:t xml:space="preserve"> годах – сумме дефицита бюджета и сумме гашения предыдущего заимствования.</w:t>
      </w:r>
    </w:p>
    <w:p w:rsidR="00380415" w:rsidRPr="00D833DB" w:rsidRDefault="00602532" w:rsidP="00110F35">
      <w:pPr>
        <w:jc w:val="both"/>
      </w:pPr>
      <w:r w:rsidRPr="00D833DB">
        <w:tab/>
        <w:t xml:space="preserve">Размер резервного фонда администрации городского округа Вичуга не превышает предельных величин, установленных </w:t>
      </w:r>
      <w:r w:rsidR="00D84577" w:rsidRPr="00D833DB">
        <w:t xml:space="preserve">п.3 </w:t>
      </w:r>
      <w:r w:rsidRPr="00D833DB">
        <w:t>ст. 81 Бюджетного кодекса Российской Федерации</w:t>
      </w:r>
      <w:r w:rsidR="00E90BDA" w:rsidRPr="00D833DB">
        <w:t xml:space="preserve">. </w:t>
      </w:r>
      <w:r w:rsidR="00380415" w:rsidRPr="00D833DB">
        <w:t xml:space="preserve">   Размер резервного фонда установлен:</w:t>
      </w:r>
    </w:p>
    <w:p w:rsidR="00380415" w:rsidRPr="00D833DB" w:rsidRDefault="00732B96" w:rsidP="00110F35">
      <w:pPr>
        <w:jc w:val="both"/>
      </w:pPr>
      <w:r w:rsidRPr="00D833DB">
        <w:t xml:space="preserve"> </w:t>
      </w:r>
      <w:r w:rsidRPr="00D833DB">
        <w:tab/>
      </w:r>
      <w:r w:rsidR="00380415" w:rsidRPr="00D833DB">
        <w:t>- н</w:t>
      </w:r>
      <w:r w:rsidR="00E90BDA" w:rsidRPr="00D833DB">
        <w:t>а 201</w:t>
      </w:r>
      <w:r w:rsidR="007C1224" w:rsidRPr="00D833DB">
        <w:t>5</w:t>
      </w:r>
      <w:r w:rsidR="00E90BDA" w:rsidRPr="00D833DB">
        <w:t xml:space="preserve"> год в сумме 1100</w:t>
      </w:r>
      <w:r w:rsidR="007C1224" w:rsidRPr="00D833DB">
        <w:t xml:space="preserve">000,0 </w:t>
      </w:r>
      <w:r w:rsidR="00E90BDA" w:rsidRPr="00D833DB">
        <w:t>рублей</w:t>
      </w:r>
      <w:r w:rsidR="00380415" w:rsidRPr="00D833DB">
        <w:t>;</w:t>
      </w:r>
    </w:p>
    <w:p w:rsidR="00380415" w:rsidRPr="00D833DB" w:rsidRDefault="00380415" w:rsidP="00732B96">
      <w:pPr>
        <w:ind w:firstLine="708"/>
        <w:jc w:val="both"/>
      </w:pPr>
      <w:r w:rsidRPr="00D833DB">
        <w:t xml:space="preserve">- </w:t>
      </w:r>
      <w:r w:rsidR="00E90BDA" w:rsidRPr="00D833DB">
        <w:t xml:space="preserve"> на 201</w:t>
      </w:r>
      <w:r w:rsidR="007C1224" w:rsidRPr="00D833DB">
        <w:t>6</w:t>
      </w:r>
      <w:r w:rsidR="00E90BDA" w:rsidRPr="00D833DB">
        <w:t xml:space="preserve"> год в сумме 1100</w:t>
      </w:r>
      <w:r w:rsidR="007C1224" w:rsidRPr="00D833DB">
        <w:t xml:space="preserve">000,0 </w:t>
      </w:r>
      <w:r w:rsidR="00E90BDA" w:rsidRPr="00D833DB">
        <w:t>рублей</w:t>
      </w:r>
      <w:r w:rsidRPr="00D833DB">
        <w:t>;</w:t>
      </w:r>
    </w:p>
    <w:p w:rsidR="00380415" w:rsidRPr="00D833DB" w:rsidRDefault="00380415" w:rsidP="00732B96">
      <w:pPr>
        <w:ind w:firstLine="708"/>
        <w:jc w:val="both"/>
      </w:pPr>
      <w:r w:rsidRPr="00D833DB">
        <w:t xml:space="preserve">- </w:t>
      </w:r>
      <w:r w:rsidR="00E90BDA" w:rsidRPr="00D833DB">
        <w:t xml:space="preserve"> на 201</w:t>
      </w:r>
      <w:r w:rsidR="007C1224" w:rsidRPr="00D833DB">
        <w:t>7</w:t>
      </w:r>
      <w:r w:rsidR="00E90BDA" w:rsidRPr="00D833DB">
        <w:t xml:space="preserve"> год в сумме 1100</w:t>
      </w:r>
      <w:r w:rsidR="007C1224" w:rsidRPr="00D833DB">
        <w:t>000,0</w:t>
      </w:r>
      <w:r w:rsidR="00E90BDA" w:rsidRPr="00D833DB">
        <w:t xml:space="preserve"> рублей.</w:t>
      </w:r>
    </w:p>
    <w:p w:rsidR="00D84577" w:rsidRPr="00D833DB" w:rsidRDefault="00EE108D" w:rsidP="00732B96">
      <w:pPr>
        <w:ind w:firstLine="708"/>
        <w:jc w:val="both"/>
      </w:pPr>
      <w:r w:rsidRPr="00D833DB">
        <w:t xml:space="preserve">Объем бюджетных ассигнований дорожного фонда городского округа Вичуга утвержден в соответствии </w:t>
      </w:r>
      <w:r w:rsidR="006702A3" w:rsidRPr="00D833DB">
        <w:t>с пунктом 5 статьи 179.4 Бюджетного кодекса</w:t>
      </w:r>
      <w:r w:rsidR="00222059" w:rsidRPr="00D833DB">
        <w:t xml:space="preserve"> Российской Федерации, в размере:</w:t>
      </w:r>
    </w:p>
    <w:p w:rsidR="00222059" w:rsidRPr="00D833DB" w:rsidRDefault="00222059" w:rsidP="00732B96">
      <w:pPr>
        <w:ind w:firstLine="708"/>
        <w:jc w:val="both"/>
      </w:pPr>
      <w:r w:rsidRPr="00D833DB">
        <w:t>- на 2015 год в сумме 9879046,0 рублей;</w:t>
      </w:r>
    </w:p>
    <w:p w:rsidR="00222059" w:rsidRPr="00D833DB" w:rsidRDefault="00222059" w:rsidP="00732B96">
      <w:pPr>
        <w:ind w:firstLine="708"/>
        <w:jc w:val="both"/>
      </w:pPr>
      <w:r w:rsidRPr="00D833DB">
        <w:t>- на 2016 год в сумме 12071490,0 рублей;</w:t>
      </w:r>
    </w:p>
    <w:p w:rsidR="00222059" w:rsidRPr="00D833DB" w:rsidRDefault="00222059" w:rsidP="00732B96">
      <w:pPr>
        <w:ind w:firstLine="708"/>
        <w:jc w:val="both"/>
      </w:pPr>
      <w:r w:rsidRPr="00D833DB">
        <w:t>- на 2017 год в сумме 10607653,0 рублей.</w:t>
      </w:r>
    </w:p>
    <w:p w:rsidR="004D2918" w:rsidRPr="00D833DB" w:rsidRDefault="00D91C78" w:rsidP="00C76D3F">
      <w:pPr>
        <w:jc w:val="both"/>
      </w:pPr>
      <w:r w:rsidRPr="00D833DB">
        <w:tab/>
      </w:r>
      <w:r w:rsidR="00C76D3F" w:rsidRPr="00D833DB">
        <w:t>Проектом установлено, что бюджетные ассигнования, предусмотренные настоящим решением на предоставление субсидий юридическим лицам, индивидуальным предпринимателям, а так же физическим лицам – производителям товаров, работ, услуг, предоставляются в порядке, установленным решением городской Думы городского округа Вичуга.</w:t>
      </w:r>
    </w:p>
    <w:p w:rsidR="00CF1FA0" w:rsidRDefault="003930E0" w:rsidP="00641F01">
      <w:pPr>
        <w:jc w:val="both"/>
      </w:pPr>
      <w:r w:rsidRPr="00D833DB">
        <w:tab/>
        <w:t>Также устанавливается,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641F01" w:rsidRPr="004A039E" w:rsidRDefault="00641F01" w:rsidP="002B745A"/>
    <w:p w:rsidR="004A69B9" w:rsidRPr="004A039E" w:rsidRDefault="007F264E" w:rsidP="004A69B9">
      <w:pPr>
        <w:jc w:val="center"/>
        <w:rPr>
          <w:b/>
        </w:rPr>
      </w:pPr>
      <w:r w:rsidRPr="004A039E">
        <w:rPr>
          <w:b/>
        </w:rPr>
        <w:t xml:space="preserve">Прогноз социально-экономического развития </w:t>
      </w:r>
      <w:r w:rsidR="004A69B9" w:rsidRPr="004A039E">
        <w:rPr>
          <w:b/>
        </w:rPr>
        <w:t>городского округа</w:t>
      </w:r>
    </w:p>
    <w:p w:rsidR="00B51477" w:rsidRPr="002B745A" w:rsidRDefault="004A69B9" w:rsidP="002B745A">
      <w:pPr>
        <w:jc w:val="center"/>
        <w:rPr>
          <w:b/>
        </w:rPr>
      </w:pPr>
      <w:r w:rsidRPr="004A039E">
        <w:rPr>
          <w:b/>
        </w:rPr>
        <w:t>Вичуга на 201</w:t>
      </w:r>
      <w:r w:rsidR="004A039E">
        <w:rPr>
          <w:b/>
        </w:rPr>
        <w:t>5</w:t>
      </w:r>
      <w:r w:rsidRPr="004A039E">
        <w:rPr>
          <w:b/>
        </w:rPr>
        <w:t>-201</w:t>
      </w:r>
      <w:r w:rsidR="004A039E">
        <w:rPr>
          <w:b/>
        </w:rPr>
        <w:t>7</w:t>
      </w:r>
      <w:r w:rsidRPr="004A039E">
        <w:rPr>
          <w:b/>
        </w:rPr>
        <w:t>г.г.</w:t>
      </w:r>
    </w:p>
    <w:p w:rsidR="004A039E" w:rsidRPr="004A039E" w:rsidRDefault="004A039E" w:rsidP="004A039E">
      <w:pPr>
        <w:ind w:firstLine="708"/>
        <w:jc w:val="both"/>
      </w:pPr>
      <w:r w:rsidRPr="004A039E">
        <w:t>Прогноз социально – экономического развития городского округа Вичуга на 2015 год и параметры прогноза на период до 2017 года разработаны  в соответствии с Постановлением Правительства Ивановской области от 21.04.2008г. № 74-п «Об утверждении порядка разработки прогнозов социально – экономического развития Ивановской области», одобрен  местной администраци</w:t>
      </w:r>
      <w:r w:rsidR="00F3308C">
        <w:t>ей</w:t>
      </w:r>
      <w:r w:rsidRPr="004A039E">
        <w:t xml:space="preserve"> одновременно с принятием решения о внесении проекта  бюджета в представительный орган.  Нормативно-правовой акт </w:t>
      </w:r>
      <w:r w:rsidR="000C16EE">
        <w:t xml:space="preserve">об одобрении Прогноза социально-экономического развития по данному вопросу не принимался. </w:t>
      </w:r>
    </w:p>
    <w:p w:rsidR="004A039E" w:rsidRPr="004A039E" w:rsidRDefault="004A039E" w:rsidP="004A039E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A039E">
        <w:rPr>
          <w:color w:val="000000"/>
        </w:rPr>
        <w:t xml:space="preserve">Данный вариант прогноза социально-экономического развития городского округа Вичуга  предлагается в качестве базового для разработки параметров бюджета городского округа Вичуга на очередной 2015 год и плановый период 2016-2017 годы, на основании динамики показателей социально-экономического развития городского округа Вичуга за последние два года </w:t>
      </w:r>
      <w:r w:rsidRPr="004A039E">
        <w:rPr>
          <w:bCs/>
          <w:iCs/>
          <w:color w:val="000000"/>
        </w:rPr>
        <w:t>и возможных тенденций развития экономических, политических, социальных, экологических и иных факторов, влияющих на социально-экономическую ситуацию в городском округе Вичуга</w:t>
      </w:r>
      <w:r w:rsidRPr="004A039E">
        <w:rPr>
          <w:color w:val="000000"/>
        </w:rPr>
        <w:t>.</w:t>
      </w:r>
      <w:r w:rsidRPr="004A039E">
        <w:rPr>
          <w:b/>
          <w:color w:val="000000"/>
        </w:rPr>
        <w:t xml:space="preserve"> </w:t>
      </w:r>
    </w:p>
    <w:p w:rsidR="004A039E" w:rsidRPr="004A039E" w:rsidRDefault="004A039E" w:rsidP="004A039E">
      <w:pPr>
        <w:ind w:firstLine="708"/>
        <w:jc w:val="both"/>
      </w:pPr>
      <w:r w:rsidRPr="004A039E">
        <w:t xml:space="preserve">Базой для разработки прогноза являются данные территориального органа федеральной службы государственной статистики по Ивановской области. Прогноз разработан на основе сложившейся динамики развития экономики городского округа Вичуга за предшествующие годы, и за период январь – август 2014 года, с учетом  показателей перспективного планирования предприятий и организаций, осуществляющих деятельность на территории городского округа Вичуга. </w:t>
      </w:r>
    </w:p>
    <w:p w:rsidR="004A039E" w:rsidRPr="004A039E" w:rsidRDefault="004A039E" w:rsidP="004A039E">
      <w:pPr>
        <w:ind w:firstLine="708"/>
        <w:jc w:val="both"/>
      </w:pPr>
      <w:r w:rsidRPr="004A039E">
        <w:lastRenderedPageBreak/>
        <w:tab/>
        <w:t>В соответствии со ст.173 БК  РФ  установлено,  что   прогноз социально – экономического  развития  муниципального  образования, подлежит одобрению исполнительными органами местной администрации одновременно с принятием решения о внесении проекта  бюджета в представительный орган. В пояснительной записке  к прогнозу должно приводиться  обоснование параметров прогноза, в том числе их сопоставление с ранее утвержденными параметрами с указанием причин прогнозируемых изменений</w:t>
      </w:r>
    </w:p>
    <w:p w:rsidR="004A039E" w:rsidRPr="004A039E" w:rsidRDefault="004A039E" w:rsidP="004A039E">
      <w:pPr>
        <w:ind w:firstLine="708"/>
        <w:jc w:val="both"/>
      </w:pPr>
      <w:r w:rsidRPr="004A039E">
        <w:t>На основании предварительных итогов социально-экономического развития городского округа Вичуга за истекший период текущего финансового года, можно отметить следующие положительные тенденции развития городского округа Вичуга в  2014 году:</w:t>
      </w:r>
    </w:p>
    <w:p w:rsidR="004A039E" w:rsidRPr="004A039E" w:rsidRDefault="004A039E" w:rsidP="004A039E">
      <w:pPr>
        <w:ind w:firstLine="708"/>
        <w:jc w:val="both"/>
      </w:pPr>
      <w:r w:rsidRPr="004A039E">
        <w:t xml:space="preserve">      -</w:t>
      </w:r>
      <w:r w:rsidRPr="004A039E">
        <w:tab/>
        <w:t>увеличение объемов отгруженной продукции;</w:t>
      </w:r>
    </w:p>
    <w:p w:rsidR="004A039E" w:rsidRPr="004A039E" w:rsidRDefault="004A039E" w:rsidP="004A039E">
      <w:pPr>
        <w:numPr>
          <w:ilvl w:val="0"/>
          <w:numId w:val="5"/>
        </w:numPr>
        <w:jc w:val="both"/>
      </w:pPr>
      <w:r w:rsidRPr="004A039E">
        <w:t>увеличение объемов производства, в том числе в таких видах экономической деятельности, как производство резиновых и пластмассовых изделий,  производство машин и оборудования, производство и распределение электроэнергии, газа и воды, целлюлозно-бумажное производство;</w:t>
      </w:r>
    </w:p>
    <w:p w:rsidR="004A039E" w:rsidRPr="004A039E" w:rsidRDefault="004A039E" w:rsidP="004A039E">
      <w:pPr>
        <w:numPr>
          <w:ilvl w:val="0"/>
          <w:numId w:val="5"/>
        </w:numPr>
        <w:contextualSpacing/>
      </w:pPr>
      <w:r w:rsidRPr="004A039E">
        <w:t xml:space="preserve"> увеличение объема инвестиций в основной капитал за счет всех источников                     финансирования;</w:t>
      </w:r>
    </w:p>
    <w:p w:rsidR="004A039E" w:rsidRPr="004A039E" w:rsidRDefault="004A039E" w:rsidP="004A039E">
      <w:pPr>
        <w:numPr>
          <w:ilvl w:val="0"/>
          <w:numId w:val="5"/>
        </w:numPr>
        <w:jc w:val="both"/>
      </w:pPr>
      <w:r w:rsidRPr="004A039E">
        <w:t xml:space="preserve">увеличение оборота розничной торговли; </w:t>
      </w:r>
    </w:p>
    <w:p w:rsidR="004A039E" w:rsidRPr="004A039E" w:rsidRDefault="004A039E" w:rsidP="004A039E">
      <w:pPr>
        <w:numPr>
          <w:ilvl w:val="0"/>
          <w:numId w:val="5"/>
        </w:numPr>
        <w:jc w:val="both"/>
      </w:pPr>
      <w:r w:rsidRPr="004A039E">
        <w:t xml:space="preserve">увеличение объема платных услуг, предоставляемых населению городского округа Вичуга; </w:t>
      </w:r>
    </w:p>
    <w:p w:rsidR="004A039E" w:rsidRPr="004A039E" w:rsidRDefault="004A039E" w:rsidP="004A039E">
      <w:pPr>
        <w:numPr>
          <w:ilvl w:val="0"/>
          <w:numId w:val="5"/>
        </w:numPr>
        <w:jc w:val="both"/>
      </w:pPr>
      <w:r w:rsidRPr="004A039E">
        <w:t xml:space="preserve">снижение численности безработных граждан и уровня безработицы на территории городского округа; </w:t>
      </w:r>
    </w:p>
    <w:p w:rsidR="004A039E" w:rsidRPr="004A039E" w:rsidRDefault="004A039E" w:rsidP="004A039E">
      <w:pPr>
        <w:numPr>
          <w:ilvl w:val="0"/>
          <w:numId w:val="5"/>
        </w:numPr>
        <w:jc w:val="both"/>
      </w:pPr>
      <w:r w:rsidRPr="004A039E">
        <w:t>увеличение числа мест в детских дошкольных учреждениях.</w:t>
      </w:r>
    </w:p>
    <w:p w:rsidR="004A039E" w:rsidRPr="004A039E" w:rsidRDefault="004A039E" w:rsidP="00641F01">
      <w:pPr>
        <w:ind w:left="1080"/>
      </w:pPr>
      <w:r w:rsidRPr="004A039E">
        <w:t>-   снижение доли убыточных предприятий и организаций в общем     числе          предприятий и организаций.</w:t>
      </w:r>
    </w:p>
    <w:p w:rsidR="004A039E" w:rsidRPr="004A039E" w:rsidRDefault="004A039E" w:rsidP="004A039E">
      <w:pPr>
        <w:jc w:val="both"/>
      </w:pPr>
      <w:r w:rsidRPr="004A039E">
        <w:tab/>
        <w:t>Среди отрицательных тенденций 2014 года в экономике и социальной сфере стали:</w:t>
      </w:r>
    </w:p>
    <w:p w:rsidR="004A039E" w:rsidRPr="004A039E" w:rsidRDefault="004A039E" w:rsidP="004A039E">
      <w:pPr>
        <w:jc w:val="both"/>
      </w:pPr>
      <w:r w:rsidRPr="004A039E">
        <w:tab/>
        <w:t xml:space="preserve">     -   снижение объемов промышленного производства;</w:t>
      </w:r>
    </w:p>
    <w:p w:rsidR="004A039E" w:rsidRPr="004A039E" w:rsidRDefault="004A039E" w:rsidP="004A039E">
      <w:pPr>
        <w:numPr>
          <w:ilvl w:val="0"/>
          <w:numId w:val="6"/>
        </w:numPr>
        <w:jc w:val="both"/>
      </w:pPr>
      <w:r w:rsidRPr="004A039E">
        <w:t xml:space="preserve">сокращение численности населения городского округа Вичуга, а также численности трудовых ресурсов. </w:t>
      </w:r>
    </w:p>
    <w:p w:rsidR="004A039E" w:rsidRPr="004A039E" w:rsidRDefault="004A039E" w:rsidP="004A039E">
      <w:pPr>
        <w:ind w:firstLine="397"/>
        <w:jc w:val="both"/>
      </w:pPr>
      <w:r w:rsidRPr="004A039E">
        <w:t xml:space="preserve">Пояснительная записка  к Прогнозу не содержит полного сопоставления с ранее утвержденными параметрами и не обосновывает внесенные изменения. </w:t>
      </w:r>
      <w:r w:rsidR="00CB4C9E">
        <w:t>Указаны</w:t>
      </w:r>
      <w:r w:rsidRPr="004A039E">
        <w:t xml:space="preserve"> лишь причин</w:t>
      </w:r>
      <w:r w:rsidR="00CB4C9E">
        <w:t>ы</w:t>
      </w:r>
      <w:r w:rsidRPr="004A039E">
        <w:t xml:space="preserve"> тех или иных изменений в текущем периоде.</w:t>
      </w:r>
      <w:r w:rsidRPr="004A039E">
        <w:tab/>
      </w:r>
    </w:p>
    <w:p w:rsidR="004A039E" w:rsidRPr="004A039E" w:rsidRDefault="004A039E" w:rsidP="004A039E">
      <w:pPr>
        <w:ind w:firstLine="397"/>
        <w:jc w:val="both"/>
      </w:pPr>
      <w:r w:rsidRPr="004A039E">
        <w:t xml:space="preserve">Характеристика степени достижения в 2014 году по оценочным данным прогнозных значений основных макроэкономических показателей, использованных при разработке и утверждении проекта  бюджета на 2014 год и плановый период 2015 и 2016 годов, представлена в </w:t>
      </w:r>
      <w:r w:rsidR="0022453E">
        <w:t>Т</w:t>
      </w:r>
      <w:r w:rsidRPr="004A039E">
        <w:t>аблице</w:t>
      </w:r>
      <w:r w:rsidR="00054DCC">
        <w:t xml:space="preserve"> 1</w:t>
      </w:r>
      <w:r w:rsidRPr="004A039E">
        <w:t>:</w:t>
      </w:r>
    </w:p>
    <w:p w:rsidR="004A039E" w:rsidRPr="004A039E" w:rsidRDefault="00527578" w:rsidP="00527578">
      <w:pPr>
        <w:jc w:val="right"/>
        <w:rPr>
          <w:sz w:val="22"/>
          <w:szCs w:val="22"/>
        </w:rPr>
      </w:pPr>
      <w:r w:rsidRPr="00054DCC">
        <w:rPr>
          <w:sz w:val="22"/>
          <w:szCs w:val="22"/>
        </w:rPr>
        <w:t>Таблица</w:t>
      </w:r>
      <w:r w:rsidR="00054DCC">
        <w:rPr>
          <w:sz w:val="22"/>
          <w:szCs w:val="22"/>
        </w:rPr>
        <w:t xml:space="preserve"> 1</w:t>
      </w:r>
      <w:r w:rsidRPr="005275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32"/>
        <w:gridCol w:w="1828"/>
        <w:gridCol w:w="1620"/>
      </w:tblGrid>
      <w:tr w:rsidR="004A039E" w:rsidRPr="004A039E" w:rsidTr="00612CB3">
        <w:trPr>
          <w:trHeight w:val="319"/>
        </w:trPr>
        <w:tc>
          <w:tcPr>
            <w:tcW w:w="478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2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Прогнозные данные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на 2014 год*</w:t>
            </w:r>
          </w:p>
        </w:tc>
        <w:tc>
          <w:tcPr>
            <w:tcW w:w="182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Оценочные данные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на 2014 год**</w:t>
            </w:r>
          </w:p>
        </w:tc>
        <w:tc>
          <w:tcPr>
            <w:tcW w:w="1620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4A039E" w:rsidRPr="004A039E" w:rsidTr="00612CB3">
        <w:trPr>
          <w:trHeight w:val="88"/>
        </w:trPr>
        <w:tc>
          <w:tcPr>
            <w:tcW w:w="478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A039E" w:rsidRPr="004A039E" w:rsidTr="00612CB3">
        <w:trPr>
          <w:trHeight w:val="92"/>
        </w:trPr>
        <w:tc>
          <w:tcPr>
            <w:tcW w:w="478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Индекс промышленного производства, % к пред. году</w:t>
            </w:r>
          </w:p>
        </w:tc>
        <w:tc>
          <w:tcPr>
            <w:tcW w:w="1232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82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620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-10,3 процентных пункта</w:t>
            </w:r>
          </w:p>
        </w:tc>
      </w:tr>
      <w:tr w:rsidR="004A039E" w:rsidRPr="004A039E" w:rsidTr="00612CB3">
        <w:trPr>
          <w:trHeight w:val="204"/>
        </w:trPr>
        <w:tc>
          <w:tcPr>
            <w:tcW w:w="478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 xml:space="preserve">Оборот розничной торговли, % 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039E">
              <w:rPr>
                <w:color w:val="000000"/>
                <w:sz w:val="16"/>
                <w:szCs w:val="16"/>
              </w:rPr>
              <w:t xml:space="preserve">к предыдущему году в сопоставимых ценах </w:t>
            </w:r>
          </w:p>
        </w:tc>
        <w:tc>
          <w:tcPr>
            <w:tcW w:w="1232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82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620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+5,5</w:t>
            </w:r>
          </w:p>
        </w:tc>
      </w:tr>
      <w:tr w:rsidR="004A039E" w:rsidRPr="004A039E" w:rsidTr="00612CB3">
        <w:trPr>
          <w:trHeight w:val="204"/>
        </w:trPr>
        <w:tc>
          <w:tcPr>
            <w:tcW w:w="478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 xml:space="preserve">Объем платных услуг населению, % 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16"/>
                <w:szCs w:val="16"/>
              </w:rPr>
              <w:t xml:space="preserve">к предыдущему году в сопоставимых ценах </w:t>
            </w:r>
          </w:p>
        </w:tc>
        <w:tc>
          <w:tcPr>
            <w:tcW w:w="1232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82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620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+7,9</w:t>
            </w:r>
          </w:p>
        </w:tc>
      </w:tr>
      <w:tr w:rsidR="004A039E" w:rsidRPr="004A039E" w:rsidTr="00612CB3">
        <w:trPr>
          <w:trHeight w:val="318"/>
        </w:trPr>
        <w:tc>
          <w:tcPr>
            <w:tcW w:w="478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 xml:space="preserve">Объём работ, выполненных по виду деятельности «строительство», % 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16"/>
                <w:szCs w:val="16"/>
              </w:rPr>
              <w:t xml:space="preserve">к предыдущему году в сопоставимых ценах </w:t>
            </w:r>
          </w:p>
        </w:tc>
        <w:tc>
          <w:tcPr>
            <w:tcW w:w="1232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182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620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4A039E" w:rsidRPr="004A039E" w:rsidTr="00612CB3">
        <w:trPr>
          <w:trHeight w:val="318"/>
        </w:trPr>
        <w:tc>
          <w:tcPr>
            <w:tcW w:w="478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Инвестиции, темп роста, % 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16"/>
                <w:szCs w:val="16"/>
              </w:rPr>
              <w:t xml:space="preserve">к предыдущему году в сопоставимых ценах </w:t>
            </w:r>
          </w:p>
        </w:tc>
        <w:tc>
          <w:tcPr>
            <w:tcW w:w="1232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82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620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-55,3</w:t>
            </w:r>
          </w:p>
        </w:tc>
      </w:tr>
      <w:tr w:rsidR="004A039E" w:rsidRPr="004A039E" w:rsidTr="00612CB3">
        <w:trPr>
          <w:trHeight w:val="318"/>
        </w:trPr>
        <w:tc>
          <w:tcPr>
            <w:tcW w:w="478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Темп роста номинальной заработной платы</w:t>
            </w:r>
            <w:r w:rsidRPr="004A039E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4A039E">
              <w:rPr>
                <w:b/>
                <w:bCs/>
                <w:color w:val="000000"/>
                <w:sz w:val="16"/>
                <w:szCs w:val="16"/>
              </w:rPr>
              <w:t>%</w:t>
            </w:r>
            <w:r w:rsidRPr="004A039E">
              <w:rPr>
                <w:bCs/>
                <w:color w:val="000000"/>
                <w:sz w:val="16"/>
                <w:szCs w:val="16"/>
              </w:rPr>
              <w:t xml:space="preserve"> к предыдущему году</w:t>
            </w:r>
          </w:p>
        </w:tc>
        <w:tc>
          <w:tcPr>
            <w:tcW w:w="1232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106,57</w:t>
            </w:r>
          </w:p>
        </w:tc>
        <w:tc>
          <w:tcPr>
            <w:tcW w:w="182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1620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-0,97</w:t>
            </w:r>
          </w:p>
        </w:tc>
      </w:tr>
      <w:tr w:rsidR="004A039E" w:rsidRPr="004A039E" w:rsidTr="00612CB3">
        <w:trPr>
          <w:trHeight w:val="318"/>
        </w:trPr>
        <w:tc>
          <w:tcPr>
            <w:tcW w:w="478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 xml:space="preserve">Фонд начисленной заработной платы всех работников, </w:t>
            </w:r>
            <w:r w:rsidRPr="004A039E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1232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1605,50</w:t>
            </w:r>
          </w:p>
        </w:tc>
        <w:tc>
          <w:tcPr>
            <w:tcW w:w="1828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1883,9</w:t>
            </w:r>
          </w:p>
        </w:tc>
        <w:tc>
          <w:tcPr>
            <w:tcW w:w="1620" w:type="dxa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color w:val="000000"/>
                <w:sz w:val="20"/>
                <w:szCs w:val="20"/>
              </w:rPr>
              <w:t>+278,4</w:t>
            </w:r>
          </w:p>
        </w:tc>
      </w:tr>
    </w:tbl>
    <w:p w:rsidR="004A039E" w:rsidRPr="004A039E" w:rsidRDefault="004A039E" w:rsidP="004A039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A039E">
        <w:rPr>
          <w:sz w:val="18"/>
          <w:szCs w:val="18"/>
        </w:rPr>
        <w:t>*- согласно прогнозу социально-экономического развития городского округа Вичуга  на 2014 год и период до 2016 года</w:t>
      </w:r>
    </w:p>
    <w:p w:rsidR="004A039E" w:rsidRPr="0022453E" w:rsidRDefault="004A039E" w:rsidP="004A039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A039E">
        <w:rPr>
          <w:sz w:val="18"/>
          <w:szCs w:val="18"/>
        </w:rPr>
        <w:t>** согласно прогнозу социально-экономического развития городского округа Вичуга  на 2015 год и период до 2017 года</w:t>
      </w:r>
    </w:p>
    <w:p w:rsidR="00054DCC" w:rsidRPr="004A039E" w:rsidRDefault="00054DCC" w:rsidP="004A03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039E" w:rsidRPr="004A039E" w:rsidRDefault="004A039E" w:rsidP="004A039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A039E">
        <w:rPr>
          <w:color w:val="000000"/>
        </w:rPr>
        <w:t xml:space="preserve">Как видно из </w:t>
      </w:r>
      <w:r w:rsidR="00054DCC">
        <w:rPr>
          <w:color w:val="000000"/>
        </w:rPr>
        <w:t>Т</w:t>
      </w:r>
      <w:r w:rsidRPr="004A039E">
        <w:rPr>
          <w:color w:val="000000"/>
        </w:rPr>
        <w:t>аблицы</w:t>
      </w:r>
      <w:r w:rsidR="00054DCC">
        <w:rPr>
          <w:color w:val="000000"/>
        </w:rPr>
        <w:t xml:space="preserve"> 1</w:t>
      </w:r>
      <w:r w:rsidRPr="004A039E">
        <w:rPr>
          <w:color w:val="000000"/>
        </w:rPr>
        <w:t xml:space="preserve">, прогнозные данные не оправдались по подавляющему большинству показателей, что, по мнению </w:t>
      </w:r>
      <w:r w:rsidR="00F3308C">
        <w:rPr>
          <w:color w:val="000000"/>
        </w:rPr>
        <w:t>К</w:t>
      </w:r>
      <w:r w:rsidRPr="004A039E">
        <w:rPr>
          <w:color w:val="000000"/>
        </w:rPr>
        <w:t xml:space="preserve">онтрольно-счетной комиссии, является следствием  моновариантности прогноза. </w:t>
      </w:r>
    </w:p>
    <w:p w:rsidR="004A039E" w:rsidRPr="004A039E" w:rsidRDefault="004A039E" w:rsidP="004A039E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A039E">
        <w:rPr>
          <w:b/>
          <w:color w:val="000000"/>
        </w:rPr>
        <w:t xml:space="preserve">Контрольно-счётная комиссия  городского округа Вичуга считает, что составление Прогноза в единственном варианте не позволяет учитывать различные тенденции развития вышеперечисленных факторов и возможные риски, которые в совокупности влияют на социально-экономическую ситуацию в городе. </w:t>
      </w:r>
    </w:p>
    <w:p w:rsidR="004A039E" w:rsidRPr="004A039E" w:rsidRDefault="004A039E" w:rsidP="004A039E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7F296C" w:rsidRPr="004A039E" w:rsidRDefault="004A039E" w:rsidP="00641F01">
      <w:pPr>
        <w:ind w:firstLine="708"/>
        <w:jc w:val="center"/>
      </w:pPr>
      <w:r w:rsidRPr="004A039E">
        <w:t>Сравнительный анализ прогноза основных макроэкономических показателей на 2015 и 2016 годы, прогнозируемые год назад, с прогнозом социально-экономического развития городского округа Вичуга на 2015 и  период до 2017 года</w:t>
      </w:r>
    </w:p>
    <w:p w:rsidR="004A039E" w:rsidRPr="004A039E" w:rsidRDefault="00527578" w:rsidP="00527578">
      <w:pPr>
        <w:ind w:firstLine="708"/>
        <w:jc w:val="right"/>
      </w:pPr>
      <w:r w:rsidRPr="007F296C">
        <w:t>Таблица</w:t>
      </w:r>
      <w:r w:rsidR="0080549A" w:rsidRPr="007F296C">
        <w:t xml:space="preserve">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2231"/>
        <w:gridCol w:w="1800"/>
        <w:gridCol w:w="1256"/>
      </w:tblGrid>
      <w:tr w:rsidR="004A039E" w:rsidRPr="004A039E" w:rsidTr="0080549A">
        <w:tc>
          <w:tcPr>
            <w:tcW w:w="4177" w:type="dxa"/>
            <w:vMerge w:val="restart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4A039E">
              <w:rPr>
                <w:b/>
                <w:color w:val="000000"/>
              </w:rPr>
              <w:t>показателя</w:t>
            </w:r>
          </w:p>
        </w:tc>
        <w:tc>
          <w:tcPr>
            <w:tcW w:w="4031" w:type="dxa"/>
            <w:gridSpan w:val="2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A039E">
              <w:rPr>
                <w:b/>
                <w:bCs/>
                <w:color w:val="000000"/>
                <w:sz w:val="18"/>
                <w:szCs w:val="18"/>
              </w:rPr>
              <w:t>Согласно прогнозу социально-экономического развития городского округа Вичуга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039E">
              <w:rPr>
                <w:b/>
                <w:color w:val="000000"/>
              </w:rPr>
              <w:t>Отклонения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039E" w:rsidRPr="004A039E" w:rsidTr="0080549A">
        <w:tc>
          <w:tcPr>
            <w:tcW w:w="4177" w:type="dxa"/>
            <w:vMerge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A039E">
              <w:rPr>
                <w:b/>
                <w:bCs/>
                <w:color w:val="000000"/>
                <w:sz w:val="18"/>
                <w:szCs w:val="18"/>
              </w:rPr>
              <w:t>*на 2014 год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4A039E">
              <w:rPr>
                <w:b/>
                <w:color w:val="000000"/>
                <w:sz w:val="18"/>
                <w:szCs w:val="18"/>
              </w:rPr>
              <w:t>и период до 2016 года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A039E">
              <w:rPr>
                <w:b/>
                <w:bCs/>
                <w:color w:val="000000"/>
                <w:sz w:val="18"/>
                <w:szCs w:val="18"/>
              </w:rPr>
              <w:t>**на 2015 год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4A039E">
              <w:rPr>
                <w:b/>
                <w:color w:val="000000"/>
                <w:sz w:val="18"/>
                <w:szCs w:val="18"/>
              </w:rPr>
              <w:t>и период до 2017 года</w:t>
            </w:r>
          </w:p>
        </w:tc>
        <w:tc>
          <w:tcPr>
            <w:tcW w:w="1256" w:type="dxa"/>
            <w:vMerge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039E">
              <w:rPr>
                <w:b/>
                <w:color w:val="000000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039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039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A039E">
              <w:rPr>
                <w:b/>
                <w:color w:val="000000"/>
                <w:sz w:val="18"/>
                <w:szCs w:val="18"/>
              </w:rPr>
              <w:t>4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A039E" w:rsidRPr="004A039E" w:rsidTr="0080549A">
        <w:tc>
          <w:tcPr>
            <w:tcW w:w="9464" w:type="dxa"/>
            <w:gridSpan w:val="4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4A039E">
              <w:rPr>
                <w:b/>
                <w:i/>
                <w:color w:val="000000"/>
              </w:rPr>
              <w:t>2015 год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Индекс промышленного производства, % к пред. году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+2,6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Оборот розничной торговли, млн.руб.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4356,000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4407,300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+51,3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 xml:space="preserve">Объем платных услуг населению, </w:t>
            </w:r>
            <w:r w:rsidRPr="004A039E">
              <w:rPr>
                <w:b/>
                <w:bCs/>
                <w:color w:val="000000"/>
                <w:sz w:val="18"/>
                <w:szCs w:val="18"/>
              </w:rPr>
              <w:t>млн.руб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354,4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-12,8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Объём работ, выполненных по виду деятельности «строительство</w:t>
            </w:r>
            <w:r w:rsidRPr="004A039E">
              <w:rPr>
                <w:bCs/>
                <w:color w:val="000000"/>
                <w:sz w:val="20"/>
                <w:szCs w:val="20"/>
              </w:rPr>
              <w:t>»</w:t>
            </w:r>
            <w:r w:rsidRPr="004A039E">
              <w:rPr>
                <w:color w:val="000000"/>
                <w:sz w:val="16"/>
                <w:szCs w:val="16"/>
              </w:rPr>
              <w:t xml:space="preserve"> </w:t>
            </w:r>
            <w:r w:rsidRPr="004A039E">
              <w:rPr>
                <w:b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-0,5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 xml:space="preserve">Инвестиции, млн.руб 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38,430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112,716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+74,286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Средняя заработная плата номинальная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15813,00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17094,00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+1281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Темп роста номинальной заработной платы</w:t>
            </w:r>
            <w:r w:rsidRPr="004A039E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4A039E">
              <w:rPr>
                <w:b/>
                <w:bCs/>
                <w:color w:val="000000"/>
                <w:sz w:val="16"/>
                <w:szCs w:val="16"/>
              </w:rPr>
              <w:t>%</w:t>
            </w:r>
            <w:r w:rsidRPr="004A039E">
              <w:rPr>
                <w:bCs/>
                <w:color w:val="000000"/>
                <w:sz w:val="16"/>
                <w:szCs w:val="16"/>
              </w:rPr>
              <w:t xml:space="preserve"> к предыдущему году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105,19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-3,69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 xml:space="preserve">Фонд начисленной заработной платы всех работников, </w:t>
            </w:r>
            <w:r w:rsidRPr="004A039E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1707,80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1933,63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+225,8</w:t>
            </w:r>
          </w:p>
        </w:tc>
      </w:tr>
      <w:tr w:rsidR="004A039E" w:rsidRPr="004A039E" w:rsidTr="0080549A">
        <w:trPr>
          <w:trHeight w:val="412"/>
        </w:trPr>
        <w:tc>
          <w:tcPr>
            <w:tcW w:w="9464" w:type="dxa"/>
            <w:gridSpan w:val="4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4A039E">
              <w:rPr>
                <w:b/>
                <w:i/>
                <w:color w:val="000000"/>
              </w:rPr>
              <w:t>2016 год</w:t>
            </w:r>
          </w:p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Индекс промышленного производства, % к пред. году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+2,3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Оборот розничной торговли, млн.руб.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4588,700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4579,200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-9,5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 xml:space="preserve">Объем платных услуг населению, </w:t>
            </w:r>
            <w:r w:rsidRPr="004A039E">
              <w:rPr>
                <w:b/>
                <w:bCs/>
                <w:color w:val="000000"/>
                <w:sz w:val="18"/>
                <w:szCs w:val="18"/>
              </w:rPr>
              <w:t>млн.руб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392.4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361,5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-30,9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Объём работ, выполненных по виду деятельности «строительство</w:t>
            </w:r>
            <w:r w:rsidRPr="004A039E">
              <w:rPr>
                <w:bCs/>
                <w:color w:val="000000"/>
                <w:sz w:val="20"/>
                <w:szCs w:val="20"/>
              </w:rPr>
              <w:t>»</w:t>
            </w:r>
            <w:r w:rsidRPr="004A039E">
              <w:rPr>
                <w:color w:val="000000"/>
                <w:sz w:val="16"/>
                <w:szCs w:val="16"/>
              </w:rPr>
              <w:t xml:space="preserve"> </w:t>
            </w:r>
            <w:r w:rsidRPr="004A039E">
              <w:rPr>
                <w:b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15,825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-0,825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 xml:space="preserve">Инвестиции, млн.руб 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149,237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+52,437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Средняя заработная плата номинальная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16856,50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18262,10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+1405,6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>Темп роста номинальной заработной платы</w:t>
            </w:r>
            <w:r w:rsidRPr="004A039E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4A039E">
              <w:rPr>
                <w:b/>
                <w:bCs/>
                <w:color w:val="000000"/>
                <w:sz w:val="16"/>
                <w:szCs w:val="16"/>
              </w:rPr>
              <w:t>%</w:t>
            </w:r>
            <w:r w:rsidRPr="004A039E">
              <w:rPr>
                <w:bCs/>
                <w:color w:val="000000"/>
                <w:sz w:val="16"/>
                <w:szCs w:val="16"/>
              </w:rPr>
              <w:t xml:space="preserve"> к предыдущему году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-4,6</w:t>
            </w:r>
          </w:p>
        </w:tc>
      </w:tr>
      <w:tr w:rsidR="004A039E" w:rsidRPr="004A039E" w:rsidTr="0080549A">
        <w:tc>
          <w:tcPr>
            <w:tcW w:w="4177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39E">
              <w:rPr>
                <w:b/>
                <w:bCs/>
                <w:color w:val="000000"/>
                <w:sz w:val="20"/>
                <w:szCs w:val="20"/>
              </w:rPr>
              <w:t xml:space="preserve">Фонд начисленной заработной платы всех работников, </w:t>
            </w:r>
            <w:r w:rsidRPr="004A039E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2231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1820,50</w:t>
            </w:r>
          </w:p>
        </w:tc>
        <w:tc>
          <w:tcPr>
            <w:tcW w:w="1800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39E">
              <w:rPr>
                <w:bCs/>
                <w:color w:val="000000"/>
                <w:sz w:val="18"/>
                <w:szCs w:val="18"/>
              </w:rPr>
              <w:t>1972,31</w:t>
            </w:r>
          </w:p>
        </w:tc>
        <w:tc>
          <w:tcPr>
            <w:tcW w:w="1256" w:type="dxa"/>
            <w:shd w:val="clear" w:color="auto" w:fill="auto"/>
          </w:tcPr>
          <w:p w:rsidR="004A039E" w:rsidRPr="004A039E" w:rsidRDefault="004A039E" w:rsidP="004A03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A039E">
              <w:rPr>
                <w:color w:val="000000"/>
                <w:sz w:val="18"/>
                <w:szCs w:val="18"/>
              </w:rPr>
              <w:t>+151,81</w:t>
            </w:r>
          </w:p>
        </w:tc>
      </w:tr>
    </w:tbl>
    <w:p w:rsidR="004A039E" w:rsidRPr="004A039E" w:rsidRDefault="004A039E" w:rsidP="004A039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A039E">
        <w:rPr>
          <w:sz w:val="18"/>
          <w:szCs w:val="18"/>
        </w:rPr>
        <w:t xml:space="preserve">*- согласно прогнозу социально-экономического развития городского округа Вичуга  на 2014 год и период до 2016 года, </w:t>
      </w:r>
    </w:p>
    <w:p w:rsidR="0080549A" w:rsidRDefault="004A039E" w:rsidP="004A039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A039E">
        <w:rPr>
          <w:sz w:val="18"/>
          <w:szCs w:val="18"/>
        </w:rPr>
        <w:t>** согласно прогнозу социально-экономического развития городского округа Вичуга  на 2015 год и период до 2017</w:t>
      </w:r>
      <w:r w:rsidR="0080549A">
        <w:rPr>
          <w:sz w:val="18"/>
          <w:szCs w:val="18"/>
        </w:rPr>
        <w:t xml:space="preserve"> года.</w:t>
      </w:r>
    </w:p>
    <w:p w:rsidR="004A039E" w:rsidRPr="004A039E" w:rsidRDefault="004A039E" w:rsidP="004A039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A039E">
        <w:rPr>
          <w:sz w:val="18"/>
          <w:szCs w:val="18"/>
        </w:rPr>
        <w:t xml:space="preserve"> </w:t>
      </w:r>
    </w:p>
    <w:p w:rsidR="004A039E" w:rsidRPr="004A039E" w:rsidRDefault="004A039E" w:rsidP="004A039E">
      <w:pPr>
        <w:ind w:firstLine="708"/>
        <w:jc w:val="both"/>
      </w:pPr>
      <w:r w:rsidRPr="004A039E">
        <w:lastRenderedPageBreak/>
        <w:t xml:space="preserve">Как видно из </w:t>
      </w:r>
      <w:r w:rsidR="0080549A" w:rsidRPr="007F296C">
        <w:t>Т</w:t>
      </w:r>
      <w:r w:rsidRPr="004A039E">
        <w:t>аблицы</w:t>
      </w:r>
      <w:r w:rsidR="0080549A">
        <w:t xml:space="preserve"> 2</w:t>
      </w:r>
      <w:r w:rsidRPr="004A039E">
        <w:t xml:space="preserve"> в рассматриваемом Прогнозе  на 2015-2017 год претерпели изменения все основные макроэкономические показатели на 2015 и 2016 годы, прогнозируемые год назад в прогнозе социально-экономического развития городского округа Вичуга на 2014 и  период до 2016 года.</w:t>
      </w:r>
    </w:p>
    <w:p w:rsidR="004A039E" w:rsidRPr="004A039E" w:rsidRDefault="004A039E" w:rsidP="004A039E">
      <w:pPr>
        <w:autoSpaceDE w:val="0"/>
        <w:autoSpaceDN w:val="0"/>
        <w:adjustRightInd w:val="0"/>
        <w:ind w:firstLine="540"/>
        <w:jc w:val="both"/>
      </w:pPr>
      <w:r w:rsidRPr="004A039E">
        <w:rPr>
          <w:b/>
          <w:color w:val="000000"/>
        </w:rPr>
        <w:t xml:space="preserve">Контрольно-счетная комиссия отмечает, что в пояснительной записке к Прогнозу  не приведены причины изменений в рассматриваемом Прогнозе  всех ранее утверждённых параметров на 2015 и 2016 годы и их сопоставление с ранее утвержденными параметрами, что </w:t>
      </w:r>
      <w:r w:rsidRPr="004A039E">
        <w:rPr>
          <w:b/>
          <w:bCs/>
          <w:color w:val="000000"/>
        </w:rPr>
        <w:t xml:space="preserve">не соответствует норме абзаца 2 пункта 4 статьи 173 БК РФ. </w:t>
      </w:r>
    </w:p>
    <w:p w:rsidR="004A039E" w:rsidRPr="004A039E" w:rsidRDefault="004A039E" w:rsidP="004A039E">
      <w:pPr>
        <w:ind w:firstLine="708"/>
        <w:jc w:val="both"/>
        <w:rPr>
          <w:rFonts w:eastAsia="Calibri"/>
          <w:lang w:eastAsia="en-US"/>
        </w:rPr>
      </w:pPr>
      <w:r w:rsidRPr="004A039E">
        <w:rPr>
          <w:rFonts w:eastAsia="Calibri"/>
          <w:lang w:eastAsia="en-US"/>
        </w:rPr>
        <w:t>Пояснительная записка к Прогнозу социально-экономического развития городского округа Вичуга на 2015 и на период до 2017 года также  не содержит отсылок к основным направлениям бюджетной политики и основным направлениям налоговой политики городского округа  Вичуга на 2015 и на период до 2017 года и  к Стратегии развития городского округа Вичуга до 2020 года.   Определить взаимоувязку  показателей Прогноза социально-экономического  развития города и показателей бюджета города на аналогичный период не предоставляется возможным.</w:t>
      </w:r>
    </w:p>
    <w:p w:rsidR="004A039E" w:rsidRPr="004A039E" w:rsidRDefault="004A039E" w:rsidP="004A039E">
      <w:pPr>
        <w:autoSpaceDE w:val="0"/>
        <w:autoSpaceDN w:val="0"/>
        <w:adjustRightInd w:val="0"/>
        <w:ind w:firstLine="540"/>
        <w:jc w:val="both"/>
      </w:pPr>
      <w:r w:rsidRPr="004A039E">
        <w:t>Согласно  основных направлений бюджетной и налоговой политики Российской Федерации целью бюджетной политики на 2015 год и на плановый период 2016 и 2017 годов является обеспечение устойчивости бюджетной системы Российской Федерации и безусловное исполнение принятых обязательств наиболее эффективным способом.</w:t>
      </w:r>
    </w:p>
    <w:p w:rsidR="004A039E" w:rsidRPr="004A039E" w:rsidRDefault="004A039E" w:rsidP="004A039E">
      <w:pPr>
        <w:autoSpaceDE w:val="0"/>
        <w:autoSpaceDN w:val="0"/>
        <w:adjustRightInd w:val="0"/>
        <w:ind w:firstLine="708"/>
        <w:jc w:val="both"/>
      </w:pPr>
      <w:r w:rsidRPr="004A039E">
        <w:t xml:space="preserve"> Для достижения указанной цели необходимо качественное и достоверное прогнозирование параметров основных макроэкономических показателей, на которых базируется составление проекта бюджета.</w:t>
      </w:r>
    </w:p>
    <w:p w:rsidR="004A039E" w:rsidRPr="004A039E" w:rsidRDefault="004A039E" w:rsidP="004A039E">
      <w:pPr>
        <w:ind w:firstLine="708"/>
        <w:jc w:val="both"/>
        <w:rPr>
          <w:rFonts w:eastAsia="Calibri"/>
          <w:lang w:eastAsia="en-US"/>
        </w:rPr>
      </w:pPr>
      <w:r w:rsidRPr="004A039E">
        <w:rPr>
          <w:rFonts w:eastAsia="Calibri"/>
          <w:b/>
          <w:bCs/>
          <w:lang w:eastAsia="en-US"/>
        </w:rPr>
        <w:t>Контрольно-счетная комиссия отмечает, что формирование бюджета согласно требованию Бюджетного кодекса должно строиться на принципе достоверности, который означает надежность показателей прогноза социально-экономического развития. Высокий риск не достижения прогнозных показателей влечет за собой риск несбалансированности бюджета городского округа Вичуга, возникновения кассовых разрывов при исполнении бюджета и невозможность удержания внутреннего муниципального долга в среднесрочном плановом периоде в допустимых пределах</w:t>
      </w:r>
      <w:r w:rsidR="00527578">
        <w:rPr>
          <w:rFonts w:eastAsia="Calibri"/>
          <w:b/>
          <w:bCs/>
          <w:lang w:eastAsia="en-US"/>
        </w:rPr>
        <w:t>.</w:t>
      </w:r>
    </w:p>
    <w:p w:rsidR="00641F01" w:rsidRPr="001F3F9E" w:rsidRDefault="004A039E" w:rsidP="001F3F9E">
      <w:pPr>
        <w:tabs>
          <w:tab w:val="left" w:pos="708"/>
          <w:tab w:val="left" w:pos="2628"/>
        </w:tabs>
        <w:jc w:val="both"/>
        <w:rPr>
          <w:rFonts w:eastAsia="Calibri"/>
          <w:lang w:eastAsia="en-US"/>
        </w:rPr>
      </w:pPr>
      <w:r w:rsidRPr="004A039E">
        <w:rPr>
          <w:rFonts w:eastAsia="Calibri"/>
          <w:lang w:eastAsia="en-US"/>
        </w:rPr>
        <w:tab/>
      </w:r>
      <w:r w:rsidR="00527578" w:rsidRPr="00527578">
        <w:rPr>
          <w:rFonts w:eastAsia="Calibri"/>
          <w:lang w:eastAsia="en-US"/>
        </w:rPr>
        <w:tab/>
      </w:r>
    </w:p>
    <w:p w:rsidR="004A69B9" w:rsidRPr="007F296C" w:rsidRDefault="004A69B9" w:rsidP="004A69B9">
      <w:pPr>
        <w:jc w:val="center"/>
        <w:rPr>
          <w:b/>
        </w:rPr>
      </w:pPr>
      <w:r w:rsidRPr="007F296C">
        <w:rPr>
          <w:b/>
        </w:rPr>
        <w:t xml:space="preserve">Основные характеристики </w:t>
      </w:r>
      <w:r w:rsidR="00CE2CBF">
        <w:rPr>
          <w:b/>
        </w:rPr>
        <w:t xml:space="preserve">проекта </w:t>
      </w:r>
      <w:r w:rsidRPr="007F296C">
        <w:rPr>
          <w:b/>
        </w:rPr>
        <w:t>бюджета городского округа Вичуга</w:t>
      </w:r>
    </w:p>
    <w:p w:rsidR="00000C71" w:rsidRPr="007F296C" w:rsidRDefault="004A69B9" w:rsidP="002B745A">
      <w:pPr>
        <w:jc w:val="center"/>
        <w:rPr>
          <w:b/>
        </w:rPr>
      </w:pPr>
      <w:r w:rsidRPr="007F296C">
        <w:rPr>
          <w:b/>
        </w:rPr>
        <w:t>на 201</w:t>
      </w:r>
      <w:r w:rsidR="00C56AC9" w:rsidRPr="007F296C">
        <w:rPr>
          <w:b/>
        </w:rPr>
        <w:t>5</w:t>
      </w:r>
      <w:r w:rsidRPr="007F296C">
        <w:rPr>
          <w:b/>
        </w:rPr>
        <w:t xml:space="preserve"> год и на плановый период 201</w:t>
      </w:r>
      <w:r w:rsidR="00C56AC9" w:rsidRPr="007F296C">
        <w:rPr>
          <w:b/>
        </w:rPr>
        <w:t>6</w:t>
      </w:r>
      <w:r w:rsidRPr="007F296C">
        <w:rPr>
          <w:b/>
        </w:rPr>
        <w:t xml:space="preserve"> и 201</w:t>
      </w:r>
      <w:r w:rsidR="00C56AC9" w:rsidRPr="007F296C">
        <w:rPr>
          <w:b/>
        </w:rPr>
        <w:t>7</w:t>
      </w:r>
      <w:r w:rsidRPr="007F296C">
        <w:rPr>
          <w:b/>
        </w:rPr>
        <w:t xml:space="preserve"> годов</w:t>
      </w:r>
    </w:p>
    <w:p w:rsidR="00CE2CBF" w:rsidRPr="00CE2CBF" w:rsidRDefault="00CE2CBF" w:rsidP="00CE2CBF">
      <w:pPr>
        <w:pStyle w:val="Default"/>
        <w:jc w:val="both"/>
        <w:rPr>
          <w:color w:val="auto"/>
        </w:rPr>
      </w:pPr>
      <w:r>
        <w:rPr>
          <w:b/>
        </w:rPr>
        <w:tab/>
      </w:r>
      <w:r w:rsidRPr="007A6E22">
        <w:rPr>
          <w:color w:val="auto"/>
        </w:rPr>
        <w:t xml:space="preserve">Бюджет городского округа </w:t>
      </w:r>
      <w:r>
        <w:rPr>
          <w:color w:val="auto"/>
        </w:rPr>
        <w:t>Вичуга</w:t>
      </w:r>
      <w:r w:rsidRPr="007A6E22">
        <w:rPr>
          <w:color w:val="auto"/>
        </w:rPr>
        <w:t xml:space="preserve"> на 2015 – 2017 годы формируется в условиях вступивших в силу изменений в Бюджетный кодекс Российской Федерации, Положение о бюджетном процессе в городком округе </w:t>
      </w:r>
      <w:r>
        <w:rPr>
          <w:color w:val="auto"/>
        </w:rPr>
        <w:t>Вичуга</w:t>
      </w:r>
      <w:r w:rsidRPr="007A6E22">
        <w:rPr>
          <w:color w:val="auto"/>
        </w:rPr>
        <w:t xml:space="preserve">, предусматривающих формат утверждения  бюджета городского округа </w:t>
      </w:r>
      <w:r>
        <w:rPr>
          <w:color w:val="auto"/>
        </w:rPr>
        <w:t>Вичуга</w:t>
      </w:r>
      <w:r w:rsidRPr="007A6E22">
        <w:rPr>
          <w:color w:val="auto"/>
        </w:rPr>
        <w:t xml:space="preserve"> не в традиционной (функциональной) структуре, а в форме распределения бюджетных ассигнований по  целевым статьям (муниципальным программам городского округа </w:t>
      </w:r>
      <w:r>
        <w:rPr>
          <w:color w:val="auto"/>
        </w:rPr>
        <w:t>Вичуга</w:t>
      </w:r>
      <w:r w:rsidRPr="007A6E22">
        <w:rPr>
          <w:color w:val="auto"/>
        </w:rPr>
        <w:t xml:space="preserve"> и не</w:t>
      </w:r>
      <w:r>
        <w:rPr>
          <w:color w:val="auto"/>
        </w:rPr>
        <w:t xml:space="preserve"> </w:t>
      </w:r>
      <w:r w:rsidRPr="007A6E22">
        <w:rPr>
          <w:color w:val="auto"/>
        </w:rPr>
        <w:t xml:space="preserve">программным направлениям деятельности). </w:t>
      </w:r>
    </w:p>
    <w:p w:rsidR="0020221E" w:rsidRPr="00DB7BDE" w:rsidRDefault="004A69B9" w:rsidP="00FC4CE1">
      <w:pPr>
        <w:jc w:val="both"/>
      </w:pPr>
      <w:r w:rsidRPr="007F296C">
        <w:rPr>
          <w:b/>
        </w:rPr>
        <w:tab/>
      </w:r>
      <w:r w:rsidRPr="007F296C">
        <w:t>К основным характеристикам бюджета относятся объемы доходов и расходов бюджета, а также размер дефицита или профицита бюджета.</w:t>
      </w:r>
      <w:r w:rsidR="00FC4CE1" w:rsidRPr="007F296C">
        <w:t xml:space="preserve"> </w:t>
      </w:r>
      <w:r w:rsidR="00FC4CE1" w:rsidRPr="007F296C">
        <w:rPr>
          <w:b/>
        </w:rPr>
        <w:t>Предложенный проект бюджета на 201</w:t>
      </w:r>
      <w:r w:rsidR="00714B2C" w:rsidRPr="007F296C">
        <w:rPr>
          <w:b/>
        </w:rPr>
        <w:t>5</w:t>
      </w:r>
      <w:r w:rsidR="00FC4CE1" w:rsidRPr="007F296C">
        <w:rPr>
          <w:b/>
        </w:rPr>
        <w:t xml:space="preserve"> год и плановый период 201</w:t>
      </w:r>
      <w:r w:rsidR="00714B2C" w:rsidRPr="007F296C">
        <w:rPr>
          <w:b/>
        </w:rPr>
        <w:t>6</w:t>
      </w:r>
      <w:r w:rsidR="00FC4CE1" w:rsidRPr="007F296C">
        <w:rPr>
          <w:b/>
        </w:rPr>
        <w:t xml:space="preserve"> и 201</w:t>
      </w:r>
      <w:r w:rsidR="00714B2C" w:rsidRPr="007F296C">
        <w:rPr>
          <w:b/>
        </w:rPr>
        <w:t>7</w:t>
      </w:r>
      <w:r w:rsidR="00FC4CE1" w:rsidRPr="007F296C">
        <w:rPr>
          <w:b/>
        </w:rPr>
        <w:t xml:space="preserve"> годов предполагает устойчивую тенденцию </w:t>
      </w:r>
      <w:r w:rsidR="00DE06DF" w:rsidRPr="007F296C">
        <w:rPr>
          <w:b/>
        </w:rPr>
        <w:t>снижения</w:t>
      </w:r>
      <w:r w:rsidR="00FC4CE1" w:rsidRPr="007F296C">
        <w:rPr>
          <w:b/>
        </w:rPr>
        <w:t xml:space="preserve"> доходов</w:t>
      </w:r>
      <w:r w:rsidR="00DE06DF" w:rsidRPr="007F296C">
        <w:rPr>
          <w:b/>
        </w:rPr>
        <w:t xml:space="preserve"> в прогнозируемом периоде </w:t>
      </w:r>
      <w:r w:rsidR="00AC7919" w:rsidRPr="007F296C">
        <w:rPr>
          <w:b/>
        </w:rPr>
        <w:t>Т</w:t>
      </w:r>
      <w:r w:rsidR="0020221E" w:rsidRPr="007F296C">
        <w:rPr>
          <w:b/>
        </w:rPr>
        <w:t xml:space="preserve">аблица </w:t>
      </w:r>
      <w:r w:rsidR="007F296C">
        <w:rPr>
          <w:b/>
        </w:rPr>
        <w:t>3</w:t>
      </w:r>
      <w:r w:rsidR="0020221E" w:rsidRPr="007F296C">
        <w:rPr>
          <w:b/>
        </w:rPr>
        <w:t>.</w:t>
      </w:r>
      <w:r w:rsidR="0020221E" w:rsidRPr="00DB7BDE">
        <w:t xml:space="preserve"> </w:t>
      </w:r>
    </w:p>
    <w:p w:rsidR="00000C71" w:rsidRPr="00DB7BDE" w:rsidRDefault="00B97D5D" w:rsidP="00394590">
      <w:pPr>
        <w:jc w:val="both"/>
      </w:pPr>
      <w:r w:rsidRPr="00DB7BDE">
        <w:t xml:space="preserve"> </w:t>
      </w:r>
      <w:r w:rsidR="00394590" w:rsidRPr="00DB7BDE">
        <w:tab/>
      </w:r>
      <w:r w:rsidR="00394590" w:rsidRPr="00DB7BDE">
        <w:tab/>
      </w:r>
      <w:r w:rsidR="00394590" w:rsidRPr="00DB7BDE">
        <w:tab/>
      </w:r>
      <w:r w:rsidR="00394590" w:rsidRPr="00DB7BDE">
        <w:tab/>
      </w:r>
      <w:r w:rsidR="00394590" w:rsidRPr="00DB7BDE">
        <w:tab/>
      </w:r>
      <w:r w:rsidRPr="00DB7BDE">
        <w:t xml:space="preserve">            </w:t>
      </w:r>
    </w:p>
    <w:p w:rsidR="00641F01" w:rsidRPr="00641F01" w:rsidRDefault="0020221E" w:rsidP="002B745A">
      <w:pPr>
        <w:jc w:val="center"/>
        <w:rPr>
          <w:b/>
        </w:rPr>
      </w:pPr>
      <w:r w:rsidRPr="00641F01">
        <w:rPr>
          <w:b/>
        </w:rPr>
        <w:t>Динамика основных характеристик бюджета городского округа Вичуга</w:t>
      </w:r>
      <w:r w:rsidR="008C3C04" w:rsidRPr="00641F01">
        <w:rPr>
          <w:b/>
        </w:rPr>
        <w:t xml:space="preserve"> </w:t>
      </w:r>
    </w:p>
    <w:p w:rsidR="0020221E" w:rsidRPr="00DB7BDE" w:rsidRDefault="00DB7BDE" w:rsidP="00E47FB2">
      <w:pPr>
        <w:jc w:val="right"/>
      </w:pPr>
      <w:r w:rsidRPr="00DB7BDE">
        <w:t xml:space="preserve">Таблица </w:t>
      </w:r>
      <w:r w:rsidR="007F296C">
        <w:t>3</w:t>
      </w:r>
      <w:r w:rsidRPr="00DB7BDE">
        <w:t xml:space="preserve"> </w:t>
      </w:r>
      <w:r w:rsidR="00E47FB2" w:rsidRPr="00DB7BDE">
        <w:t>(в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276"/>
        <w:gridCol w:w="1808"/>
      </w:tblGrid>
      <w:tr w:rsidR="0020221E" w:rsidRPr="006222BE" w:rsidTr="006222BE">
        <w:tc>
          <w:tcPr>
            <w:tcW w:w="5070" w:type="dxa"/>
            <w:shd w:val="clear" w:color="auto" w:fill="auto"/>
          </w:tcPr>
          <w:p w:rsidR="0020221E" w:rsidRPr="00AA7F3E" w:rsidRDefault="0020221E" w:rsidP="006222BE">
            <w:pPr>
              <w:jc w:val="center"/>
              <w:rPr>
                <w:b/>
              </w:rPr>
            </w:pPr>
            <w:r w:rsidRPr="00AA7F3E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20221E" w:rsidRPr="00AA7F3E" w:rsidRDefault="0020221E" w:rsidP="006222BE">
            <w:pPr>
              <w:jc w:val="center"/>
              <w:rPr>
                <w:b/>
              </w:rPr>
            </w:pPr>
            <w:r w:rsidRPr="00AA7F3E">
              <w:rPr>
                <w:b/>
              </w:rPr>
              <w:t>Доходы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20221E" w:rsidP="006222BE">
            <w:pPr>
              <w:jc w:val="center"/>
              <w:rPr>
                <w:b/>
              </w:rPr>
            </w:pPr>
            <w:r w:rsidRPr="00AA7F3E">
              <w:rPr>
                <w:b/>
              </w:rPr>
              <w:t>Расходы</w:t>
            </w:r>
          </w:p>
        </w:tc>
        <w:tc>
          <w:tcPr>
            <w:tcW w:w="1808" w:type="dxa"/>
            <w:shd w:val="clear" w:color="auto" w:fill="auto"/>
          </w:tcPr>
          <w:p w:rsidR="0020221E" w:rsidRPr="00AA7F3E" w:rsidRDefault="0020221E" w:rsidP="006222BE">
            <w:pPr>
              <w:jc w:val="center"/>
              <w:rPr>
                <w:b/>
              </w:rPr>
            </w:pPr>
            <w:r w:rsidRPr="00AA7F3E">
              <w:rPr>
                <w:b/>
              </w:rPr>
              <w:t>Дефицит(-)</w:t>
            </w:r>
          </w:p>
          <w:p w:rsidR="0020221E" w:rsidRPr="00AA7F3E" w:rsidRDefault="0020221E" w:rsidP="006222BE">
            <w:pPr>
              <w:jc w:val="center"/>
              <w:rPr>
                <w:b/>
              </w:rPr>
            </w:pPr>
            <w:r w:rsidRPr="00AA7F3E">
              <w:rPr>
                <w:b/>
              </w:rPr>
              <w:t>Профицит(+)</w:t>
            </w:r>
          </w:p>
        </w:tc>
      </w:tr>
      <w:tr w:rsidR="0020221E" w:rsidTr="006222BE">
        <w:tc>
          <w:tcPr>
            <w:tcW w:w="5070" w:type="dxa"/>
            <w:shd w:val="clear" w:color="auto" w:fill="auto"/>
          </w:tcPr>
          <w:p w:rsidR="0020221E" w:rsidRPr="00AA7F3E" w:rsidRDefault="0020221E" w:rsidP="006222BE">
            <w:pPr>
              <w:jc w:val="both"/>
            </w:pPr>
            <w:r w:rsidRPr="00AA7F3E">
              <w:t>Исполнение за 2011 год, тыс. руб.</w:t>
            </w:r>
          </w:p>
          <w:p w:rsidR="00E44E6F" w:rsidRPr="00AA7F3E" w:rsidRDefault="00E44E6F" w:rsidP="006222B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221E" w:rsidRPr="00AA7F3E" w:rsidRDefault="00B3574E" w:rsidP="006222BE">
            <w:pPr>
              <w:jc w:val="right"/>
            </w:pPr>
            <w:r w:rsidRPr="00AA7F3E">
              <w:t>467418,75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B3574E" w:rsidP="006222BE">
            <w:pPr>
              <w:jc w:val="right"/>
            </w:pPr>
            <w:r w:rsidRPr="00AA7F3E">
              <w:t>460736,96</w:t>
            </w:r>
          </w:p>
        </w:tc>
        <w:tc>
          <w:tcPr>
            <w:tcW w:w="1808" w:type="dxa"/>
            <w:shd w:val="clear" w:color="auto" w:fill="auto"/>
          </w:tcPr>
          <w:p w:rsidR="0020221E" w:rsidRPr="00AA7F3E" w:rsidRDefault="00B3574E" w:rsidP="006222BE">
            <w:pPr>
              <w:jc w:val="right"/>
            </w:pPr>
            <w:r w:rsidRPr="00AA7F3E">
              <w:t>6681,79</w:t>
            </w:r>
          </w:p>
        </w:tc>
      </w:tr>
      <w:tr w:rsidR="0020221E" w:rsidTr="006222BE">
        <w:tc>
          <w:tcPr>
            <w:tcW w:w="5070" w:type="dxa"/>
            <w:shd w:val="clear" w:color="auto" w:fill="auto"/>
          </w:tcPr>
          <w:p w:rsidR="0020221E" w:rsidRPr="00AA7F3E" w:rsidRDefault="009251E9" w:rsidP="009251E9">
            <w:pPr>
              <w:jc w:val="both"/>
            </w:pPr>
            <w:r w:rsidRPr="00AA7F3E">
              <w:lastRenderedPageBreak/>
              <w:t>И</w:t>
            </w:r>
            <w:r w:rsidR="0020221E" w:rsidRPr="00AA7F3E">
              <w:t>сполнени</w:t>
            </w:r>
            <w:r w:rsidRPr="00AA7F3E">
              <w:t>е</w:t>
            </w:r>
            <w:r w:rsidR="0020221E" w:rsidRPr="00AA7F3E">
              <w:t xml:space="preserve"> за 2012 год</w:t>
            </w:r>
            <w:r w:rsidR="00FC05B8" w:rsidRPr="00AA7F3E">
              <w:t>,</w:t>
            </w:r>
            <w:r w:rsidR="0020221E" w:rsidRPr="00AA7F3E">
              <w:t xml:space="preserve"> тыс. руб.</w:t>
            </w:r>
          </w:p>
          <w:p w:rsidR="00E44E6F" w:rsidRPr="00AA7F3E" w:rsidRDefault="00E44E6F" w:rsidP="009251E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221E" w:rsidRPr="00AA7F3E" w:rsidRDefault="000A49CF" w:rsidP="006222BE">
            <w:pPr>
              <w:jc w:val="right"/>
            </w:pPr>
            <w:r w:rsidRPr="00AA7F3E">
              <w:t>471489,37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0A49CF" w:rsidP="006222BE">
            <w:pPr>
              <w:jc w:val="right"/>
            </w:pPr>
            <w:r w:rsidRPr="00AA7F3E">
              <w:t>482145,74</w:t>
            </w:r>
          </w:p>
        </w:tc>
        <w:tc>
          <w:tcPr>
            <w:tcW w:w="1808" w:type="dxa"/>
            <w:shd w:val="clear" w:color="auto" w:fill="auto"/>
          </w:tcPr>
          <w:p w:rsidR="0020221E" w:rsidRPr="00AA7F3E" w:rsidRDefault="000A49CF" w:rsidP="006222BE">
            <w:pPr>
              <w:jc w:val="right"/>
            </w:pPr>
            <w:r w:rsidRPr="00AA7F3E">
              <w:t>-10656,37</w:t>
            </w:r>
          </w:p>
        </w:tc>
      </w:tr>
      <w:tr w:rsidR="0020221E" w:rsidTr="006222BE">
        <w:tc>
          <w:tcPr>
            <w:tcW w:w="5070" w:type="dxa"/>
            <w:shd w:val="clear" w:color="auto" w:fill="auto"/>
          </w:tcPr>
          <w:p w:rsidR="0020221E" w:rsidRPr="00AA7F3E" w:rsidRDefault="00FC05B8" w:rsidP="006222BE">
            <w:pPr>
              <w:jc w:val="both"/>
              <w:rPr>
                <w:color w:val="C00000"/>
              </w:rPr>
            </w:pPr>
            <w:r w:rsidRPr="00AA7F3E">
              <w:rPr>
                <w:color w:val="C00000"/>
              </w:rPr>
              <w:t>Динамика к 2011 году</w:t>
            </w:r>
            <w:r w:rsidR="00CD563C" w:rsidRPr="00AA7F3E">
              <w:rPr>
                <w:color w:val="C00000"/>
              </w:rPr>
              <w:t xml:space="preserve"> в тыс. руб. (%)</w:t>
            </w:r>
          </w:p>
          <w:p w:rsidR="00E44E6F" w:rsidRPr="00AA7F3E" w:rsidRDefault="00E44E6F" w:rsidP="006222BE">
            <w:pPr>
              <w:jc w:val="both"/>
              <w:rPr>
                <w:color w:val="C00000"/>
              </w:rPr>
            </w:pPr>
          </w:p>
        </w:tc>
        <w:tc>
          <w:tcPr>
            <w:tcW w:w="1417" w:type="dxa"/>
            <w:shd w:val="clear" w:color="auto" w:fill="auto"/>
          </w:tcPr>
          <w:p w:rsidR="0020221E" w:rsidRPr="00AA7F3E" w:rsidRDefault="004D0C9D" w:rsidP="00BF08FB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+4070,62 (</w:t>
            </w:r>
            <w:r w:rsidR="00BF08FB" w:rsidRPr="00AA7F3E">
              <w:rPr>
                <w:color w:val="C00000"/>
              </w:rPr>
              <w:t>+</w:t>
            </w:r>
            <w:r w:rsidRPr="00AA7F3E">
              <w:rPr>
                <w:color w:val="C00000"/>
              </w:rPr>
              <w:t>0,8%)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4D0C9D" w:rsidP="00BF08FB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+21408,78 (</w:t>
            </w:r>
            <w:r w:rsidR="00BF08FB" w:rsidRPr="00AA7F3E">
              <w:rPr>
                <w:color w:val="C00000"/>
              </w:rPr>
              <w:t>+</w:t>
            </w:r>
            <w:r w:rsidRPr="00AA7F3E">
              <w:rPr>
                <w:color w:val="C00000"/>
              </w:rPr>
              <w:t>4,6%)</w:t>
            </w:r>
          </w:p>
        </w:tc>
        <w:tc>
          <w:tcPr>
            <w:tcW w:w="1808" w:type="dxa"/>
            <w:shd w:val="clear" w:color="auto" w:fill="auto"/>
          </w:tcPr>
          <w:p w:rsidR="004D0C9D" w:rsidRPr="00AA7F3E" w:rsidRDefault="004D0C9D" w:rsidP="006222B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-17338,16</w:t>
            </w:r>
          </w:p>
          <w:p w:rsidR="0020221E" w:rsidRPr="00AA7F3E" w:rsidRDefault="0020221E" w:rsidP="006222BE">
            <w:pPr>
              <w:jc w:val="right"/>
              <w:rPr>
                <w:color w:val="C00000"/>
              </w:rPr>
            </w:pPr>
          </w:p>
        </w:tc>
      </w:tr>
      <w:tr w:rsidR="007A47A2" w:rsidTr="006222BE">
        <w:tc>
          <w:tcPr>
            <w:tcW w:w="5070" w:type="dxa"/>
            <w:shd w:val="clear" w:color="auto" w:fill="auto"/>
          </w:tcPr>
          <w:p w:rsidR="007A47A2" w:rsidRPr="00AA7F3E" w:rsidRDefault="007A47A2" w:rsidP="006222BE">
            <w:pPr>
              <w:jc w:val="both"/>
            </w:pPr>
            <w:r w:rsidRPr="00AA7F3E">
              <w:t>Исполнение  за 2013 год, тыс. руб.</w:t>
            </w:r>
          </w:p>
        </w:tc>
        <w:tc>
          <w:tcPr>
            <w:tcW w:w="1417" w:type="dxa"/>
            <w:shd w:val="clear" w:color="auto" w:fill="auto"/>
          </w:tcPr>
          <w:p w:rsidR="007A47A2" w:rsidRPr="00AA7F3E" w:rsidRDefault="0021177B" w:rsidP="00BF08FB">
            <w:pPr>
              <w:jc w:val="right"/>
            </w:pPr>
            <w:r w:rsidRPr="00AA7F3E">
              <w:t>545810,8</w:t>
            </w:r>
          </w:p>
          <w:p w:rsidR="00FF2E3B" w:rsidRPr="00AA7F3E" w:rsidRDefault="00FF2E3B" w:rsidP="00BF08FB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A47A2" w:rsidRPr="00AA7F3E" w:rsidRDefault="0021177B" w:rsidP="00BF08FB">
            <w:pPr>
              <w:jc w:val="right"/>
            </w:pPr>
            <w:r w:rsidRPr="00AA7F3E">
              <w:t>515442,9</w:t>
            </w:r>
          </w:p>
        </w:tc>
        <w:tc>
          <w:tcPr>
            <w:tcW w:w="1808" w:type="dxa"/>
            <w:shd w:val="clear" w:color="auto" w:fill="auto"/>
          </w:tcPr>
          <w:p w:rsidR="007A47A2" w:rsidRPr="00AA7F3E" w:rsidRDefault="0021177B" w:rsidP="006222BE">
            <w:pPr>
              <w:jc w:val="right"/>
            </w:pPr>
            <w:r w:rsidRPr="00AA7F3E">
              <w:t>30367,9</w:t>
            </w:r>
          </w:p>
        </w:tc>
      </w:tr>
      <w:tr w:rsidR="007A47A2" w:rsidTr="006222BE">
        <w:tc>
          <w:tcPr>
            <w:tcW w:w="5070" w:type="dxa"/>
            <w:shd w:val="clear" w:color="auto" w:fill="auto"/>
          </w:tcPr>
          <w:p w:rsidR="007A47A2" w:rsidRPr="00AA7F3E" w:rsidRDefault="007A47A2" w:rsidP="006222BE">
            <w:pPr>
              <w:jc w:val="both"/>
              <w:rPr>
                <w:color w:val="C00000"/>
              </w:rPr>
            </w:pPr>
            <w:r w:rsidRPr="00AA7F3E">
              <w:rPr>
                <w:color w:val="C00000"/>
              </w:rPr>
              <w:t>Динамика к 2012 году, в тыс. руб. (%)</w:t>
            </w:r>
          </w:p>
        </w:tc>
        <w:tc>
          <w:tcPr>
            <w:tcW w:w="1417" w:type="dxa"/>
            <w:shd w:val="clear" w:color="auto" w:fill="auto"/>
          </w:tcPr>
          <w:p w:rsidR="007A47A2" w:rsidRPr="00AA7F3E" w:rsidRDefault="00351B5E" w:rsidP="00BF08FB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+74321,43</w:t>
            </w:r>
          </w:p>
          <w:p w:rsidR="00FF2E3B" w:rsidRPr="00AA7F3E" w:rsidRDefault="00F1187C" w:rsidP="00BF08FB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(+15%)</w:t>
            </w:r>
          </w:p>
        </w:tc>
        <w:tc>
          <w:tcPr>
            <w:tcW w:w="1276" w:type="dxa"/>
            <w:shd w:val="clear" w:color="auto" w:fill="auto"/>
          </w:tcPr>
          <w:p w:rsidR="007A47A2" w:rsidRPr="00AA7F3E" w:rsidRDefault="00351B5E" w:rsidP="00BF08FB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+33297,16</w:t>
            </w:r>
          </w:p>
          <w:p w:rsidR="00F1187C" w:rsidRPr="00AA7F3E" w:rsidRDefault="00F1187C" w:rsidP="00BF08FB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(+6%)</w:t>
            </w:r>
          </w:p>
        </w:tc>
        <w:tc>
          <w:tcPr>
            <w:tcW w:w="1808" w:type="dxa"/>
            <w:shd w:val="clear" w:color="auto" w:fill="auto"/>
          </w:tcPr>
          <w:p w:rsidR="007A47A2" w:rsidRPr="00AA7F3E" w:rsidRDefault="00AE163F" w:rsidP="006222B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41024,27</w:t>
            </w:r>
          </w:p>
        </w:tc>
      </w:tr>
      <w:tr w:rsidR="0020221E" w:rsidTr="006222BE">
        <w:tc>
          <w:tcPr>
            <w:tcW w:w="5070" w:type="dxa"/>
            <w:shd w:val="clear" w:color="auto" w:fill="auto"/>
          </w:tcPr>
          <w:p w:rsidR="0020221E" w:rsidRPr="00AA7F3E" w:rsidRDefault="00FC05B8" w:rsidP="006222BE">
            <w:pPr>
              <w:jc w:val="both"/>
            </w:pPr>
            <w:r w:rsidRPr="00AA7F3E">
              <w:t>Ожидаемое исполнение за 201</w:t>
            </w:r>
            <w:r w:rsidR="00D82A5F" w:rsidRPr="00AA7F3E">
              <w:t>4</w:t>
            </w:r>
            <w:r w:rsidRPr="00AA7F3E">
              <w:t xml:space="preserve"> год, тыс. руб.</w:t>
            </w:r>
          </w:p>
          <w:p w:rsidR="00E44E6F" w:rsidRPr="00AA7F3E" w:rsidRDefault="00E44E6F" w:rsidP="006222B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503770,8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533199,0</w:t>
            </w:r>
          </w:p>
        </w:tc>
        <w:tc>
          <w:tcPr>
            <w:tcW w:w="1808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-29428,2</w:t>
            </w:r>
          </w:p>
        </w:tc>
      </w:tr>
      <w:tr w:rsidR="0020221E" w:rsidTr="006222BE">
        <w:tc>
          <w:tcPr>
            <w:tcW w:w="5070" w:type="dxa"/>
            <w:shd w:val="clear" w:color="auto" w:fill="auto"/>
          </w:tcPr>
          <w:p w:rsidR="0020221E" w:rsidRPr="00AA7F3E" w:rsidRDefault="00FC05B8" w:rsidP="006222BE">
            <w:pPr>
              <w:jc w:val="both"/>
              <w:rPr>
                <w:color w:val="C00000"/>
              </w:rPr>
            </w:pPr>
            <w:r w:rsidRPr="00AA7F3E">
              <w:rPr>
                <w:color w:val="C00000"/>
              </w:rPr>
              <w:t>Динамика к 201</w:t>
            </w:r>
            <w:r w:rsidR="00D82A5F" w:rsidRPr="00AA7F3E">
              <w:rPr>
                <w:color w:val="C00000"/>
              </w:rPr>
              <w:t>3</w:t>
            </w:r>
            <w:r w:rsidRPr="00AA7F3E">
              <w:rPr>
                <w:color w:val="C00000"/>
              </w:rPr>
              <w:t xml:space="preserve"> году</w:t>
            </w:r>
            <w:r w:rsidR="00CD563C" w:rsidRPr="00AA7F3E">
              <w:rPr>
                <w:color w:val="C00000"/>
              </w:rPr>
              <w:t xml:space="preserve"> в тыс. руб. (%)</w:t>
            </w:r>
          </w:p>
          <w:p w:rsidR="00E44E6F" w:rsidRPr="00AA7F3E" w:rsidRDefault="00E44E6F" w:rsidP="006222BE">
            <w:pPr>
              <w:jc w:val="both"/>
              <w:rPr>
                <w:color w:val="C00000"/>
              </w:rPr>
            </w:pPr>
          </w:p>
        </w:tc>
        <w:tc>
          <w:tcPr>
            <w:tcW w:w="1417" w:type="dxa"/>
            <w:shd w:val="clear" w:color="auto" w:fill="auto"/>
          </w:tcPr>
          <w:p w:rsidR="0020221E" w:rsidRPr="00AA7F3E" w:rsidRDefault="00832254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-42040,0</w:t>
            </w:r>
          </w:p>
          <w:p w:rsidR="00F1187C" w:rsidRPr="00AA7F3E" w:rsidRDefault="00F1187C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(-8%)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832254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+17756,1</w:t>
            </w:r>
          </w:p>
          <w:p w:rsidR="00F1187C" w:rsidRPr="00AA7F3E" w:rsidRDefault="00F1187C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(+3%)</w:t>
            </w:r>
          </w:p>
        </w:tc>
        <w:tc>
          <w:tcPr>
            <w:tcW w:w="1808" w:type="dxa"/>
            <w:shd w:val="clear" w:color="auto" w:fill="auto"/>
          </w:tcPr>
          <w:p w:rsidR="0020221E" w:rsidRPr="00AA7F3E" w:rsidRDefault="00832254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-59796,1</w:t>
            </w:r>
          </w:p>
        </w:tc>
      </w:tr>
      <w:tr w:rsidR="0020221E" w:rsidTr="006222BE">
        <w:tc>
          <w:tcPr>
            <w:tcW w:w="5070" w:type="dxa"/>
            <w:shd w:val="clear" w:color="auto" w:fill="auto"/>
          </w:tcPr>
          <w:p w:rsidR="0020221E" w:rsidRPr="00AA7F3E" w:rsidRDefault="00A8197B" w:rsidP="0020221E">
            <w:r w:rsidRPr="00AA7F3E">
              <w:t>Прогноз на 201</w:t>
            </w:r>
            <w:r w:rsidR="00D82A5F" w:rsidRPr="00AA7F3E">
              <w:t>5</w:t>
            </w:r>
            <w:r w:rsidRPr="00AA7F3E">
              <w:t xml:space="preserve"> год, тыс. руб.</w:t>
            </w:r>
          </w:p>
          <w:p w:rsidR="00E44E6F" w:rsidRPr="00AA7F3E" w:rsidRDefault="00E44E6F" w:rsidP="0020221E"/>
        </w:tc>
        <w:tc>
          <w:tcPr>
            <w:tcW w:w="1417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446891,9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459064,6</w:t>
            </w:r>
          </w:p>
        </w:tc>
        <w:tc>
          <w:tcPr>
            <w:tcW w:w="1808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-12172,6</w:t>
            </w:r>
          </w:p>
        </w:tc>
      </w:tr>
      <w:tr w:rsidR="0020221E" w:rsidTr="006222BE">
        <w:tc>
          <w:tcPr>
            <w:tcW w:w="5070" w:type="dxa"/>
            <w:shd w:val="clear" w:color="auto" w:fill="auto"/>
          </w:tcPr>
          <w:p w:rsidR="0020221E" w:rsidRPr="00AA7F3E" w:rsidRDefault="00A8197B" w:rsidP="00A8197B">
            <w:pPr>
              <w:rPr>
                <w:color w:val="C00000"/>
              </w:rPr>
            </w:pPr>
            <w:r w:rsidRPr="00AA7F3E">
              <w:rPr>
                <w:color w:val="C00000"/>
              </w:rPr>
              <w:t>Д</w:t>
            </w:r>
            <w:r w:rsidR="0020221E" w:rsidRPr="00AA7F3E">
              <w:rPr>
                <w:color w:val="C00000"/>
              </w:rPr>
              <w:t>инамика к 201</w:t>
            </w:r>
            <w:r w:rsidR="00D82A5F" w:rsidRPr="00AA7F3E">
              <w:rPr>
                <w:color w:val="C00000"/>
              </w:rPr>
              <w:t>4</w:t>
            </w:r>
            <w:r w:rsidR="0020221E" w:rsidRPr="00AA7F3E">
              <w:rPr>
                <w:color w:val="C00000"/>
              </w:rPr>
              <w:t xml:space="preserve"> году</w:t>
            </w:r>
            <w:r w:rsidR="00CD563C" w:rsidRPr="00AA7F3E">
              <w:rPr>
                <w:color w:val="C00000"/>
              </w:rPr>
              <w:t xml:space="preserve"> в тыс. руб. (%)</w:t>
            </w:r>
          </w:p>
          <w:p w:rsidR="00E44E6F" w:rsidRPr="00AA7F3E" w:rsidRDefault="00E44E6F" w:rsidP="00A8197B">
            <w:pPr>
              <w:rPr>
                <w:color w:val="C00000"/>
              </w:rPr>
            </w:pPr>
          </w:p>
        </w:tc>
        <w:tc>
          <w:tcPr>
            <w:tcW w:w="1417" w:type="dxa"/>
            <w:shd w:val="clear" w:color="auto" w:fill="auto"/>
          </w:tcPr>
          <w:p w:rsidR="0020221E" w:rsidRPr="00AA7F3E" w:rsidRDefault="00832254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-56878,9</w:t>
            </w:r>
          </w:p>
          <w:p w:rsidR="00672428" w:rsidRPr="00AA7F3E" w:rsidRDefault="00672428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(-12%)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832254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-74134,4</w:t>
            </w:r>
          </w:p>
          <w:p w:rsidR="00672428" w:rsidRPr="00AA7F3E" w:rsidRDefault="00672428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(-14%)</w:t>
            </w:r>
          </w:p>
        </w:tc>
        <w:tc>
          <w:tcPr>
            <w:tcW w:w="1808" w:type="dxa"/>
            <w:shd w:val="clear" w:color="auto" w:fill="auto"/>
          </w:tcPr>
          <w:p w:rsidR="0020221E" w:rsidRPr="00AA7F3E" w:rsidRDefault="00832254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+17255,6</w:t>
            </w:r>
          </w:p>
        </w:tc>
      </w:tr>
      <w:tr w:rsidR="0020221E" w:rsidTr="006222BE">
        <w:tc>
          <w:tcPr>
            <w:tcW w:w="5070" w:type="dxa"/>
            <w:shd w:val="clear" w:color="auto" w:fill="auto"/>
          </w:tcPr>
          <w:p w:rsidR="0020221E" w:rsidRPr="00AA7F3E" w:rsidRDefault="0020221E" w:rsidP="00A8197B">
            <w:r w:rsidRPr="00AA7F3E">
              <w:t>Прогноз на 201</w:t>
            </w:r>
            <w:r w:rsidR="00D82A5F" w:rsidRPr="00AA7F3E">
              <w:t>6</w:t>
            </w:r>
            <w:r w:rsidRPr="00AA7F3E">
              <w:t xml:space="preserve"> год, тыс. руб.</w:t>
            </w:r>
          </w:p>
          <w:p w:rsidR="00E44E6F" w:rsidRPr="00AA7F3E" w:rsidRDefault="00E44E6F" w:rsidP="00A8197B"/>
        </w:tc>
        <w:tc>
          <w:tcPr>
            <w:tcW w:w="1417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423335,5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435426,19</w:t>
            </w:r>
          </w:p>
        </w:tc>
        <w:tc>
          <w:tcPr>
            <w:tcW w:w="1808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-12090,6</w:t>
            </w:r>
          </w:p>
        </w:tc>
      </w:tr>
      <w:tr w:rsidR="0020221E" w:rsidTr="006222BE">
        <w:tc>
          <w:tcPr>
            <w:tcW w:w="5070" w:type="dxa"/>
            <w:shd w:val="clear" w:color="auto" w:fill="auto"/>
          </w:tcPr>
          <w:p w:rsidR="0020221E" w:rsidRPr="00AA7F3E" w:rsidRDefault="00A8197B" w:rsidP="00A8197B">
            <w:pPr>
              <w:rPr>
                <w:color w:val="C00000"/>
              </w:rPr>
            </w:pPr>
            <w:r w:rsidRPr="00AA7F3E">
              <w:rPr>
                <w:color w:val="C00000"/>
              </w:rPr>
              <w:t>Д</w:t>
            </w:r>
            <w:r w:rsidR="0020221E" w:rsidRPr="00AA7F3E">
              <w:rPr>
                <w:color w:val="C00000"/>
              </w:rPr>
              <w:t>инамика к 201</w:t>
            </w:r>
            <w:r w:rsidR="00D82A5F" w:rsidRPr="00AA7F3E">
              <w:rPr>
                <w:color w:val="C00000"/>
              </w:rPr>
              <w:t>5</w:t>
            </w:r>
            <w:r w:rsidR="0020221E" w:rsidRPr="00AA7F3E">
              <w:rPr>
                <w:color w:val="C00000"/>
              </w:rPr>
              <w:t xml:space="preserve"> году </w:t>
            </w:r>
            <w:r w:rsidR="00CD563C" w:rsidRPr="00AA7F3E">
              <w:rPr>
                <w:color w:val="C00000"/>
              </w:rPr>
              <w:t>в тыс. руб. (%)</w:t>
            </w:r>
          </w:p>
          <w:p w:rsidR="00E44E6F" w:rsidRPr="00AA7F3E" w:rsidRDefault="00E44E6F" w:rsidP="00A8197B">
            <w:pPr>
              <w:rPr>
                <w:color w:val="C00000"/>
              </w:rPr>
            </w:pPr>
          </w:p>
        </w:tc>
        <w:tc>
          <w:tcPr>
            <w:tcW w:w="1417" w:type="dxa"/>
            <w:shd w:val="clear" w:color="auto" w:fill="auto"/>
          </w:tcPr>
          <w:p w:rsidR="0020221E" w:rsidRPr="00AA7F3E" w:rsidRDefault="00832254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-23556,4</w:t>
            </w:r>
          </w:p>
          <w:p w:rsidR="00672428" w:rsidRPr="00AA7F3E" w:rsidRDefault="00672428" w:rsidP="00C8571E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(-6%)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832254" w:rsidP="0023299B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-23638,41</w:t>
            </w:r>
          </w:p>
          <w:p w:rsidR="00672428" w:rsidRPr="00AA7F3E" w:rsidRDefault="00672428" w:rsidP="0023299B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(-6%)</w:t>
            </w:r>
          </w:p>
        </w:tc>
        <w:tc>
          <w:tcPr>
            <w:tcW w:w="1808" w:type="dxa"/>
            <w:shd w:val="clear" w:color="auto" w:fill="auto"/>
          </w:tcPr>
          <w:p w:rsidR="0020221E" w:rsidRPr="00AA7F3E" w:rsidRDefault="00832254" w:rsidP="0023299B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+82,0</w:t>
            </w:r>
          </w:p>
        </w:tc>
      </w:tr>
      <w:tr w:rsidR="0020221E" w:rsidTr="006222BE">
        <w:tc>
          <w:tcPr>
            <w:tcW w:w="5070" w:type="dxa"/>
            <w:shd w:val="clear" w:color="auto" w:fill="auto"/>
          </w:tcPr>
          <w:p w:rsidR="0020221E" w:rsidRPr="00AA7F3E" w:rsidRDefault="00E44E6F" w:rsidP="0020221E">
            <w:r w:rsidRPr="00AA7F3E">
              <w:t>Прогноз на 201</w:t>
            </w:r>
            <w:r w:rsidR="00D82A5F" w:rsidRPr="00AA7F3E">
              <w:t>7</w:t>
            </w:r>
            <w:r w:rsidRPr="00AA7F3E">
              <w:t xml:space="preserve"> год, тыс. руб.</w:t>
            </w:r>
          </w:p>
          <w:p w:rsidR="00E44E6F" w:rsidRPr="00AA7F3E" w:rsidRDefault="00E44E6F" w:rsidP="0020221E"/>
        </w:tc>
        <w:tc>
          <w:tcPr>
            <w:tcW w:w="1417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421878,1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433957,4</w:t>
            </w:r>
          </w:p>
        </w:tc>
        <w:tc>
          <w:tcPr>
            <w:tcW w:w="1808" w:type="dxa"/>
            <w:shd w:val="clear" w:color="auto" w:fill="auto"/>
          </w:tcPr>
          <w:p w:rsidR="0020221E" w:rsidRPr="00AA7F3E" w:rsidRDefault="00832254" w:rsidP="006222BE">
            <w:pPr>
              <w:jc w:val="right"/>
            </w:pPr>
            <w:r w:rsidRPr="00AA7F3E">
              <w:t>-12079,3</w:t>
            </w:r>
          </w:p>
        </w:tc>
      </w:tr>
      <w:tr w:rsidR="0020221E" w:rsidTr="006222BE">
        <w:tc>
          <w:tcPr>
            <w:tcW w:w="5070" w:type="dxa"/>
            <w:shd w:val="clear" w:color="auto" w:fill="auto"/>
          </w:tcPr>
          <w:p w:rsidR="0020221E" w:rsidRPr="00AA7F3E" w:rsidRDefault="00E44E6F" w:rsidP="00E44E6F">
            <w:pPr>
              <w:rPr>
                <w:color w:val="C00000"/>
              </w:rPr>
            </w:pPr>
            <w:r w:rsidRPr="00AA7F3E">
              <w:rPr>
                <w:color w:val="C00000"/>
              </w:rPr>
              <w:t>Д</w:t>
            </w:r>
            <w:r w:rsidR="0020221E" w:rsidRPr="00AA7F3E">
              <w:rPr>
                <w:color w:val="C00000"/>
              </w:rPr>
              <w:t>инамика к 201</w:t>
            </w:r>
            <w:r w:rsidR="00D82A5F" w:rsidRPr="00AA7F3E">
              <w:rPr>
                <w:color w:val="C00000"/>
              </w:rPr>
              <w:t>6</w:t>
            </w:r>
            <w:r w:rsidR="0020221E" w:rsidRPr="00AA7F3E">
              <w:rPr>
                <w:color w:val="C00000"/>
              </w:rPr>
              <w:t xml:space="preserve"> году </w:t>
            </w:r>
            <w:r w:rsidR="00CD563C" w:rsidRPr="00AA7F3E">
              <w:rPr>
                <w:color w:val="C00000"/>
              </w:rPr>
              <w:t>в тыс. руб. (%)</w:t>
            </w:r>
          </w:p>
          <w:p w:rsidR="00E44E6F" w:rsidRPr="00AA7F3E" w:rsidRDefault="00E44E6F" w:rsidP="00E44E6F">
            <w:pPr>
              <w:rPr>
                <w:color w:val="C00000"/>
              </w:rPr>
            </w:pPr>
          </w:p>
        </w:tc>
        <w:tc>
          <w:tcPr>
            <w:tcW w:w="1417" w:type="dxa"/>
            <w:shd w:val="clear" w:color="auto" w:fill="auto"/>
          </w:tcPr>
          <w:p w:rsidR="0020221E" w:rsidRPr="00AA7F3E" w:rsidRDefault="00832254" w:rsidP="008641D5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-1457,4</w:t>
            </w:r>
          </w:p>
          <w:p w:rsidR="00672428" w:rsidRPr="00AA7F3E" w:rsidRDefault="00672428" w:rsidP="008641D5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(-1%)</w:t>
            </w:r>
          </w:p>
        </w:tc>
        <w:tc>
          <w:tcPr>
            <w:tcW w:w="1276" w:type="dxa"/>
            <w:shd w:val="clear" w:color="auto" w:fill="auto"/>
          </w:tcPr>
          <w:p w:rsidR="0020221E" w:rsidRPr="00AA7F3E" w:rsidRDefault="00832254" w:rsidP="008641D5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-1468,79</w:t>
            </w:r>
          </w:p>
          <w:p w:rsidR="00672428" w:rsidRPr="00AA7F3E" w:rsidRDefault="00672428" w:rsidP="008641D5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(-1%)</w:t>
            </w:r>
          </w:p>
        </w:tc>
        <w:tc>
          <w:tcPr>
            <w:tcW w:w="1808" w:type="dxa"/>
            <w:shd w:val="clear" w:color="auto" w:fill="auto"/>
          </w:tcPr>
          <w:p w:rsidR="0020221E" w:rsidRPr="00AA7F3E" w:rsidRDefault="00832254" w:rsidP="00D82A5F">
            <w:pPr>
              <w:jc w:val="right"/>
              <w:rPr>
                <w:color w:val="C00000"/>
              </w:rPr>
            </w:pPr>
            <w:r w:rsidRPr="00AA7F3E">
              <w:rPr>
                <w:color w:val="C00000"/>
              </w:rPr>
              <w:t>+11,3</w:t>
            </w:r>
          </w:p>
        </w:tc>
      </w:tr>
    </w:tbl>
    <w:p w:rsidR="00E44E6F" w:rsidRDefault="00E44E6F" w:rsidP="00FC4CE1">
      <w:pPr>
        <w:jc w:val="both"/>
      </w:pPr>
    </w:p>
    <w:p w:rsidR="00A74BFE" w:rsidRPr="00DB7BDE" w:rsidRDefault="00CF574A" w:rsidP="00FC4CE1">
      <w:pPr>
        <w:jc w:val="both"/>
      </w:pPr>
      <w:r w:rsidRPr="00DB7BDE">
        <w:t>Динамика основных характеристик бюджета отражена на диаграмме 1.</w:t>
      </w:r>
    </w:p>
    <w:p w:rsidR="008B3FF0" w:rsidRDefault="008B3FF0" w:rsidP="005A76B6"/>
    <w:p w:rsidR="00A56442" w:rsidRPr="00DB7BDE" w:rsidRDefault="00A74BFE" w:rsidP="00DB7BDE">
      <w:pPr>
        <w:jc w:val="right"/>
      </w:pPr>
      <w:r w:rsidRPr="00DB7BDE">
        <w:t>Диаграмма 1</w:t>
      </w:r>
    </w:p>
    <w:p w:rsidR="00A74BFE" w:rsidRPr="00DB7BDE" w:rsidRDefault="00A74BFE" w:rsidP="00A74BFE">
      <w:pPr>
        <w:ind w:firstLine="708"/>
        <w:jc w:val="center"/>
        <w:rPr>
          <w:b/>
        </w:rPr>
      </w:pPr>
      <w:r w:rsidRPr="00DB7BDE">
        <w:rPr>
          <w:b/>
        </w:rPr>
        <w:t>Динамика основных характеристик бюджета городского округа Вичуга</w:t>
      </w:r>
    </w:p>
    <w:p w:rsidR="00E5398A" w:rsidRPr="00A74BFE" w:rsidRDefault="00A74BFE" w:rsidP="007143DC">
      <w:pPr>
        <w:ind w:firstLine="708"/>
        <w:jc w:val="center"/>
        <w:rPr>
          <w:b/>
        </w:rPr>
      </w:pPr>
      <w:r w:rsidRPr="00DB7BDE">
        <w:rPr>
          <w:b/>
        </w:rPr>
        <w:t>на период 201</w:t>
      </w:r>
      <w:r w:rsidR="0015653D" w:rsidRPr="00DB7BDE">
        <w:rPr>
          <w:b/>
        </w:rPr>
        <w:t>1</w:t>
      </w:r>
      <w:r w:rsidRPr="00DB7BDE">
        <w:rPr>
          <w:b/>
        </w:rPr>
        <w:t>-201</w:t>
      </w:r>
      <w:r w:rsidR="00EB588C">
        <w:rPr>
          <w:b/>
        </w:rPr>
        <w:t>7</w:t>
      </w:r>
      <w:r w:rsidRPr="00DB7BDE">
        <w:rPr>
          <w:b/>
        </w:rPr>
        <w:t xml:space="preserve"> годов (в млн. рублей)</w:t>
      </w:r>
    </w:p>
    <w:p w:rsidR="00DB7BDE" w:rsidRDefault="00AD0936" w:rsidP="006366DB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695950" cy="3162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3559" w:rsidRDefault="00983559" w:rsidP="006366DB">
      <w:pPr>
        <w:jc w:val="both"/>
        <w:rPr>
          <w:b/>
        </w:rPr>
      </w:pPr>
    </w:p>
    <w:p w:rsidR="00641F01" w:rsidRPr="002B745A" w:rsidRDefault="00983559" w:rsidP="006366DB">
      <w:pPr>
        <w:jc w:val="both"/>
      </w:pPr>
      <w:r>
        <w:rPr>
          <w:b/>
        </w:rPr>
        <w:tab/>
      </w:r>
      <w:r w:rsidRPr="00641F01">
        <w:t>Диаграмма 1 отчетливо показывает снижение доходных показателей начиная с 2013 года.</w:t>
      </w:r>
    </w:p>
    <w:p w:rsidR="005E0940" w:rsidRPr="001F3F9E" w:rsidRDefault="005E0940" w:rsidP="005E0940">
      <w:pPr>
        <w:jc w:val="center"/>
        <w:rPr>
          <w:b/>
        </w:rPr>
      </w:pPr>
      <w:r w:rsidRPr="001F3F9E">
        <w:rPr>
          <w:b/>
        </w:rPr>
        <w:lastRenderedPageBreak/>
        <w:t xml:space="preserve">Доходы бюджета городского округа Вичуга </w:t>
      </w:r>
    </w:p>
    <w:p w:rsidR="00380415" w:rsidRPr="00DB7BDE" w:rsidRDefault="005E0940" w:rsidP="00301099">
      <w:pPr>
        <w:jc w:val="center"/>
        <w:rPr>
          <w:b/>
        </w:rPr>
      </w:pPr>
      <w:r w:rsidRPr="001F3F9E">
        <w:rPr>
          <w:b/>
        </w:rPr>
        <w:t>на 201</w:t>
      </w:r>
      <w:r w:rsidR="00D46D06" w:rsidRPr="001F3F9E">
        <w:rPr>
          <w:b/>
        </w:rPr>
        <w:t>5</w:t>
      </w:r>
      <w:r w:rsidRPr="001F3F9E">
        <w:rPr>
          <w:b/>
        </w:rPr>
        <w:t xml:space="preserve"> год и плановый период 201</w:t>
      </w:r>
      <w:r w:rsidR="00D46D06" w:rsidRPr="001F3F9E">
        <w:rPr>
          <w:b/>
        </w:rPr>
        <w:t>6</w:t>
      </w:r>
      <w:r w:rsidRPr="001F3F9E">
        <w:rPr>
          <w:b/>
        </w:rPr>
        <w:t xml:space="preserve"> и 201</w:t>
      </w:r>
      <w:r w:rsidR="00D46D06" w:rsidRPr="001F3F9E">
        <w:rPr>
          <w:b/>
        </w:rPr>
        <w:t>7</w:t>
      </w:r>
      <w:r w:rsidRPr="001F3F9E">
        <w:rPr>
          <w:b/>
        </w:rPr>
        <w:t xml:space="preserve"> годов</w:t>
      </w:r>
    </w:p>
    <w:p w:rsidR="00AA0902" w:rsidRPr="00DB7BDE" w:rsidRDefault="00AA0902" w:rsidP="002715F4">
      <w:pPr>
        <w:rPr>
          <w:b/>
        </w:rPr>
      </w:pPr>
    </w:p>
    <w:p w:rsidR="005E0940" w:rsidRPr="001F3F9E" w:rsidRDefault="005E0940" w:rsidP="003B1C9F">
      <w:pPr>
        <w:jc w:val="both"/>
      </w:pPr>
      <w:r w:rsidRPr="00DB7BDE">
        <w:rPr>
          <w:b/>
        </w:rPr>
        <w:tab/>
      </w:r>
      <w:r w:rsidR="00622BFA" w:rsidRPr="001F3F9E">
        <w:t>В проект бюджета на 201</w:t>
      </w:r>
      <w:r w:rsidR="0093151D" w:rsidRPr="001F3F9E">
        <w:t>5</w:t>
      </w:r>
      <w:r w:rsidR="00622BFA" w:rsidRPr="001F3F9E">
        <w:t xml:space="preserve"> год и плановый период 201</w:t>
      </w:r>
      <w:r w:rsidR="0093151D" w:rsidRPr="001F3F9E">
        <w:t>6</w:t>
      </w:r>
      <w:r w:rsidR="00622BFA" w:rsidRPr="001F3F9E">
        <w:t xml:space="preserve"> и 201</w:t>
      </w:r>
      <w:r w:rsidR="0093151D" w:rsidRPr="001F3F9E">
        <w:t>7</w:t>
      </w:r>
      <w:r w:rsidR="00622BFA" w:rsidRPr="001F3F9E">
        <w:t xml:space="preserve"> годов доходные источники</w:t>
      </w:r>
      <w:r w:rsidR="003B1C9F" w:rsidRPr="001F3F9E">
        <w:t xml:space="preserve"> включены на основании расчетов главных администраторов доходов бюджета городского округа Вичуга и расчетов Финансового отдела администрации городского округа Вичуга,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201</w:t>
      </w:r>
      <w:r w:rsidR="00307757" w:rsidRPr="001F3F9E">
        <w:t>5</w:t>
      </w:r>
      <w:r w:rsidR="003B1C9F" w:rsidRPr="001F3F9E">
        <w:t xml:space="preserve"> года.</w:t>
      </w:r>
      <w:r w:rsidR="001B2EED" w:rsidRPr="001F3F9E">
        <w:t xml:space="preserve"> </w:t>
      </w:r>
    </w:p>
    <w:p w:rsidR="00DB7BDE" w:rsidRDefault="001B2EED" w:rsidP="003B1C9F">
      <w:pPr>
        <w:jc w:val="both"/>
      </w:pPr>
      <w:r w:rsidRPr="001F3F9E">
        <w:tab/>
        <w:t>Общ</w:t>
      </w:r>
      <w:r w:rsidR="00DB7BDE" w:rsidRPr="001F3F9E">
        <w:t>ие</w:t>
      </w:r>
      <w:r w:rsidRPr="001F3F9E">
        <w:t xml:space="preserve"> сумм</w:t>
      </w:r>
      <w:r w:rsidR="005F6BE5" w:rsidRPr="001F3F9E">
        <w:t>ы</w:t>
      </w:r>
      <w:r w:rsidRPr="001F3F9E">
        <w:t xml:space="preserve"> налоговых, неналоговых доходов, безвозмездных поступлений приведены в </w:t>
      </w:r>
      <w:r w:rsidR="00AC7919" w:rsidRPr="001F3F9E">
        <w:t>Т</w:t>
      </w:r>
      <w:r w:rsidRPr="001F3F9E">
        <w:t xml:space="preserve">аблице </w:t>
      </w:r>
      <w:r w:rsidR="001F3F9E">
        <w:t>4</w:t>
      </w:r>
      <w:r w:rsidRPr="001F3F9E">
        <w:t>.</w:t>
      </w:r>
    </w:p>
    <w:p w:rsidR="0093151D" w:rsidRPr="00DB7BDE" w:rsidRDefault="0093151D" w:rsidP="003B1C9F">
      <w:pPr>
        <w:jc w:val="both"/>
      </w:pPr>
    </w:p>
    <w:p w:rsidR="00000C71" w:rsidRPr="00641F01" w:rsidRDefault="009C093E" w:rsidP="002B745A">
      <w:pPr>
        <w:jc w:val="center"/>
        <w:rPr>
          <w:b/>
        </w:rPr>
      </w:pPr>
      <w:r w:rsidRPr="00641F01">
        <w:rPr>
          <w:b/>
        </w:rPr>
        <w:t>Структура</w:t>
      </w:r>
      <w:r w:rsidR="0047792A" w:rsidRPr="00641F01">
        <w:rPr>
          <w:b/>
        </w:rPr>
        <w:t xml:space="preserve"> доходов бюджета городского округа Вичуга за период 201</w:t>
      </w:r>
      <w:r w:rsidR="005F62C3" w:rsidRPr="00641F01">
        <w:rPr>
          <w:b/>
        </w:rPr>
        <w:t>4</w:t>
      </w:r>
      <w:r w:rsidR="0047792A" w:rsidRPr="00641F01">
        <w:rPr>
          <w:b/>
        </w:rPr>
        <w:t>-201</w:t>
      </w:r>
      <w:r w:rsidR="005F62C3" w:rsidRPr="00641F01">
        <w:rPr>
          <w:b/>
        </w:rPr>
        <w:t>7</w:t>
      </w:r>
      <w:r w:rsidR="0047792A" w:rsidRPr="00641F01">
        <w:rPr>
          <w:b/>
        </w:rPr>
        <w:t xml:space="preserve"> годов</w:t>
      </w:r>
    </w:p>
    <w:p w:rsidR="003D3A01" w:rsidRPr="001D4FAF" w:rsidRDefault="00DB7BDE" w:rsidP="009C093E">
      <w:pPr>
        <w:jc w:val="right"/>
      </w:pPr>
      <w:r w:rsidRPr="001D4FAF">
        <w:t xml:space="preserve">Таблица </w:t>
      </w:r>
      <w:r w:rsidR="001D4FAF" w:rsidRPr="001D4FAF">
        <w:t>4</w:t>
      </w:r>
      <w:r w:rsidRPr="001D4FAF">
        <w:rPr>
          <w:b/>
        </w:rPr>
        <w:t xml:space="preserve"> </w:t>
      </w:r>
      <w:r w:rsidR="009C093E" w:rsidRPr="001D4FAF">
        <w:t>(в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417"/>
        <w:gridCol w:w="1383"/>
      </w:tblGrid>
      <w:tr w:rsidR="003D3A01" w:rsidRPr="00000C71" w:rsidTr="00AF012F">
        <w:tc>
          <w:tcPr>
            <w:tcW w:w="3652" w:type="dxa"/>
            <w:shd w:val="clear" w:color="auto" w:fill="auto"/>
          </w:tcPr>
          <w:p w:rsidR="003D3A01" w:rsidRPr="00000C71" w:rsidRDefault="003D3A01" w:rsidP="003D3A01">
            <w:r w:rsidRPr="00000C71"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3D3A01" w:rsidRPr="00000C71" w:rsidRDefault="00967FE1" w:rsidP="003D3A01">
            <w:r w:rsidRPr="00000C71">
              <w:t>Уточненный п</w:t>
            </w:r>
            <w:r w:rsidR="0047792A" w:rsidRPr="00000C71">
              <w:t>лан на 01.1</w:t>
            </w:r>
            <w:r w:rsidR="00820033" w:rsidRPr="00000C71">
              <w:t>1</w:t>
            </w:r>
            <w:r w:rsidR="0047792A" w:rsidRPr="00000C71">
              <w:t>.201</w:t>
            </w:r>
            <w:r w:rsidR="003E405D" w:rsidRPr="00000C71">
              <w:t>4</w:t>
            </w:r>
          </w:p>
          <w:p w:rsidR="003D3A01" w:rsidRPr="00000C71" w:rsidRDefault="003D3A01" w:rsidP="003D3A01">
            <w:r w:rsidRPr="00000C71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D3A01" w:rsidRPr="00000C71" w:rsidRDefault="0047792A" w:rsidP="003E405D">
            <w:r w:rsidRPr="00000C71">
              <w:t>План</w:t>
            </w:r>
            <w:r w:rsidR="003D3A01" w:rsidRPr="00000C71">
              <w:t xml:space="preserve"> на 201</w:t>
            </w:r>
            <w:r w:rsidR="003E405D" w:rsidRPr="00000C71">
              <w:t>5</w:t>
            </w:r>
            <w:r w:rsidR="003D3A01" w:rsidRPr="00000C71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3D3A01" w:rsidRPr="00000C71" w:rsidRDefault="0047792A" w:rsidP="003E405D">
            <w:r w:rsidRPr="00000C71">
              <w:t>План</w:t>
            </w:r>
            <w:r w:rsidR="003D3A01" w:rsidRPr="00000C71">
              <w:t xml:space="preserve"> на 201</w:t>
            </w:r>
            <w:r w:rsidR="003E405D" w:rsidRPr="00000C71">
              <w:t>6</w:t>
            </w:r>
            <w:r w:rsidR="003D3A01" w:rsidRPr="00000C71">
              <w:t xml:space="preserve"> год</w:t>
            </w:r>
          </w:p>
        </w:tc>
        <w:tc>
          <w:tcPr>
            <w:tcW w:w="1383" w:type="dxa"/>
            <w:shd w:val="clear" w:color="auto" w:fill="auto"/>
          </w:tcPr>
          <w:p w:rsidR="003D3A01" w:rsidRPr="00000C71" w:rsidRDefault="0047792A" w:rsidP="003E405D">
            <w:r w:rsidRPr="00000C71">
              <w:t>План</w:t>
            </w:r>
            <w:r w:rsidR="003D3A01" w:rsidRPr="00000C71">
              <w:t xml:space="preserve"> на 201</w:t>
            </w:r>
            <w:r w:rsidR="003E405D" w:rsidRPr="00000C71">
              <w:t>7</w:t>
            </w:r>
            <w:r w:rsidR="003D3A01" w:rsidRPr="00000C71">
              <w:t xml:space="preserve"> год</w:t>
            </w:r>
          </w:p>
        </w:tc>
      </w:tr>
      <w:tr w:rsidR="003D3A01" w:rsidRPr="00000C71" w:rsidTr="00AF012F">
        <w:tc>
          <w:tcPr>
            <w:tcW w:w="3652" w:type="dxa"/>
            <w:shd w:val="clear" w:color="auto" w:fill="auto"/>
          </w:tcPr>
          <w:p w:rsidR="003D3A01" w:rsidRPr="00000C71" w:rsidRDefault="00C4684E" w:rsidP="003D3A01">
            <w:pPr>
              <w:rPr>
                <w:b/>
              </w:rPr>
            </w:pPr>
            <w:r w:rsidRPr="00000C71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3D3A01" w:rsidRPr="00000C71" w:rsidRDefault="005443AA" w:rsidP="003D3A01">
            <w:pPr>
              <w:rPr>
                <w:b/>
              </w:rPr>
            </w:pPr>
            <w:r w:rsidRPr="00000C71">
              <w:rPr>
                <w:b/>
              </w:rPr>
              <w:t>124422,8</w:t>
            </w:r>
          </w:p>
        </w:tc>
        <w:tc>
          <w:tcPr>
            <w:tcW w:w="1560" w:type="dxa"/>
            <w:shd w:val="clear" w:color="auto" w:fill="auto"/>
          </w:tcPr>
          <w:p w:rsidR="003D3A01" w:rsidRPr="00000C71" w:rsidRDefault="00353AB4" w:rsidP="003D3A01">
            <w:pPr>
              <w:rPr>
                <w:b/>
              </w:rPr>
            </w:pPr>
            <w:r w:rsidRPr="00000C71">
              <w:rPr>
                <w:b/>
              </w:rPr>
              <w:t>121729,4</w:t>
            </w:r>
          </w:p>
        </w:tc>
        <w:tc>
          <w:tcPr>
            <w:tcW w:w="1417" w:type="dxa"/>
            <w:shd w:val="clear" w:color="auto" w:fill="auto"/>
          </w:tcPr>
          <w:p w:rsidR="003D3A01" w:rsidRPr="00000C71" w:rsidRDefault="00353AB4" w:rsidP="003D3A01">
            <w:pPr>
              <w:rPr>
                <w:b/>
              </w:rPr>
            </w:pPr>
            <w:r w:rsidRPr="00000C71">
              <w:rPr>
                <w:b/>
              </w:rPr>
              <w:t>120909,1</w:t>
            </w:r>
          </w:p>
        </w:tc>
        <w:tc>
          <w:tcPr>
            <w:tcW w:w="1383" w:type="dxa"/>
            <w:shd w:val="clear" w:color="auto" w:fill="auto"/>
          </w:tcPr>
          <w:p w:rsidR="003D3A01" w:rsidRPr="00000C71" w:rsidRDefault="00353AB4" w:rsidP="003D3A01">
            <w:pPr>
              <w:rPr>
                <w:b/>
              </w:rPr>
            </w:pPr>
            <w:r w:rsidRPr="00000C71">
              <w:rPr>
                <w:b/>
              </w:rPr>
              <w:t>120793,4</w:t>
            </w:r>
            <w:r w:rsidR="00FF1FA1" w:rsidRPr="00000C71">
              <w:rPr>
                <w:b/>
              </w:rPr>
              <w:t xml:space="preserve"> </w:t>
            </w:r>
          </w:p>
        </w:tc>
      </w:tr>
      <w:tr w:rsidR="003D3A01" w:rsidRPr="00000C71" w:rsidTr="00AF012F">
        <w:tc>
          <w:tcPr>
            <w:tcW w:w="3652" w:type="dxa"/>
            <w:shd w:val="clear" w:color="auto" w:fill="auto"/>
          </w:tcPr>
          <w:p w:rsidR="003D3A01" w:rsidRPr="00000C71" w:rsidRDefault="00F71841" w:rsidP="003D3A01">
            <w:pPr>
              <w:rPr>
                <w:b/>
              </w:rPr>
            </w:pPr>
            <w:r w:rsidRPr="00000C71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</w:tcPr>
          <w:p w:rsidR="003D3A01" w:rsidRPr="00000C71" w:rsidRDefault="00353AB4" w:rsidP="003D3A01">
            <w:pPr>
              <w:rPr>
                <w:b/>
              </w:rPr>
            </w:pPr>
            <w:r w:rsidRPr="00000C71">
              <w:rPr>
                <w:b/>
              </w:rPr>
              <w:t>44325,6</w:t>
            </w:r>
          </w:p>
        </w:tc>
        <w:tc>
          <w:tcPr>
            <w:tcW w:w="1560" w:type="dxa"/>
            <w:shd w:val="clear" w:color="auto" w:fill="auto"/>
          </w:tcPr>
          <w:p w:rsidR="003D3A01" w:rsidRPr="00000C71" w:rsidRDefault="00353AB4" w:rsidP="003D3A01">
            <w:pPr>
              <w:rPr>
                <w:b/>
              </w:rPr>
            </w:pPr>
            <w:r w:rsidRPr="00000C71">
              <w:rPr>
                <w:b/>
              </w:rPr>
              <w:t>60964,8</w:t>
            </w:r>
          </w:p>
        </w:tc>
        <w:tc>
          <w:tcPr>
            <w:tcW w:w="1417" w:type="dxa"/>
            <w:shd w:val="clear" w:color="auto" w:fill="auto"/>
          </w:tcPr>
          <w:p w:rsidR="003D3A01" w:rsidRPr="00000C71" w:rsidRDefault="00353AB4" w:rsidP="003D3A01">
            <w:pPr>
              <w:rPr>
                <w:b/>
              </w:rPr>
            </w:pPr>
            <w:r w:rsidRPr="00000C71">
              <w:rPr>
                <w:b/>
              </w:rPr>
              <w:t>66255,8</w:t>
            </w:r>
          </w:p>
        </w:tc>
        <w:tc>
          <w:tcPr>
            <w:tcW w:w="1383" w:type="dxa"/>
            <w:shd w:val="clear" w:color="auto" w:fill="auto"/>
          </w:tcPr>
          <w:p w:rsidR="003D3A01" w:rsidRPr="00000C71" w:rsidRDefault="00353AB4" w:rsidP="003D3A01">
            <w:pPr>
              <w:rPr>
                <w:b/>
              </w:rPr>
            </w:pPr>
            <w:r w:rsidRPr="00000C71">
              <w:rPr>
                <w:b/>
              </w:rPr>
              <w:t>67331,35</w:t>
            </w:r>
          </w:p>
        </w:tc>
      </w:tr>
      <w:tr w:rsidR="003D3A01" w:rsidRPr="00000C71" w:rsidTr="00AF012F">
        <w:tc>
          <w:tcPr>
            <w:tcW w:w="3652" w:type="dxa"/>
            <w:shd w:val="clear" w:color="auto" w:fill="auto"/>
          </w:tcPr>
          <w:p w:rsidR="003D3A01" w:rsidRPr="00000C71" w:rsidRDefault="00F71841" w:rsidP="003D3A01">
            <w:r w:rsidRPr="00000C71">
              <w:t>Налог на  доходы физических  лиц</w:t>
            </w:r>
          </w:p>
        </w:tc>
        <w:tc>
          <w:tcPr>
            <w:tcW w:w="1559" w:type="dxa"/>
            <w:shd w:val="clear" w:color="auto" w:fill="auto"/>
          </w:tcPr>
          <w:p w:rsidR="003D3A01" w:rsidRPr="00000C71" w:rsidRDefault="00353AB4" w:rsidP="003D3A01">
            <w:r w:rsidRPr="00000C71">
              <w:t>44325,6</w:t>
            </w:r>
          </w:p>
        </w:tc>
        <w:tc>
          <w:tcPr>
            <w:tcW w:w="1560" w:type="dxa"/>
            <w:shd w:val="clear" w:color="auto" w:fill="auto"/>
          </w:tcPr>
          <w:p w:rsidR="003D3A01" w:rsidRPr="00000C71" w:rsidRDefault="00353AB4" w:rsidP="003D3A01">
            <w:r w:rsidRPr="00000C71">
              <w:t>60964,8</w:t>
            </w:r>
          </w:p>
        </w:tc>
        <w:tc>
          <w:tcPr>
            <w:tcW w:w="1417" w:type="dxa"/>
            <w:shd w:val="clear" w:color="auto" w:fill="auto"/>
          </w:tcPr>
          <w:p w:rsidR="003D3A01" w:rsidRPr="00000C71" w:rsidRDefault="00353AB4" w:rsidP="003D3A01">
            <w:r w:rsidRPr="00000C71">
              <w:t>66255,8</w:t>
            </w:r>
          </w:p>
        </w:tc>
        <w:tc>
          <w:tcPr>
            <w:tcW w:w="1383" w:type="dxa"/>
            <w:shd w:val="clear" w:color="auto" w:fill="auto"/>
          </w:tcPr>
          <w:p w:rsidR="003D3A01" w:rsidRPr="00000C71" w:rsidRDefault="00353AB4" w:rsidP="003D3A01">
            <w:r w:rsidRPr="00000C71">
              <w:t>67331,35</w:t>
            </w:r>
          </w:p>
        </w:tc>
      </w:tr>
      <w:tr w:rsidR="007E0858" w:rsidRPr="00000C71" w:rsidTr="00AF012F">
        <w:tc>
          <w:tcPr>
            <w:tcW w:w="3652" w:type="dxa"/>
            <w:shd w:val="clear" w:color="auto" w:fill="auto"/>
          </w:tcPr>
          <w:p w:rsidR="007E0858" w:rsidRPr="00000C71" w:rsidRDefault="007E0858" w:rsidP="003D3A01">
            <w:pPr>
              <w:rPr>
                <w:b/>
              </w:rPr>
            </w:pPr>
            <w:r w:rsidRPr="00000C71">
              <w:rPr>
                <w:b/>
              </w:rPr>
              <w:t>Налоги на товары (работы, услуги) реализуемые на территории РФ</w:t>
            </w:r>
          </w:p>
        </w:tc>
        <w:tc>
          <w:tcPr>
            <w:tcW w:w="1559" w:type="dxa"/>
            <w:shd w:val="clear" w:color="auto" w:fill="auto"/>
          </w:tcPr>
          <w:p w:rsidR="007E0858" w:rsidRPr="00000C71" w:rsidRDefault="00DB3A18" w:rsidP="003D3A01">
            <w:pPr>
              <w:rPr>
                <w:b/>
              </w:rPr>
            </w:pPr>
            <w:r w:rsidRPr="00000C71">
              <w:rPr>
                <w:b/>
              </w:rPr>
              <w:t>9338,4</w:t>
            </w:r>
          </w:p>
        </w:tc>
        <w:tc>
          <w:tcPr>
            <w:tcW w:w="1560" w:type="dxa"/>
            <w:shd w:val="clear" w:color="auto" w:fill="auto"/>
          </w:tcPr>
          <w:p w:rsidR="007E0858" w:rsidRPr="00000C71" w:rsidRDefault="00DB3A18" w:rsidP="003D3A01">
            <w:pPr>
              <w:rPr>
                <w:b/>
              </w:rPr>
            </w:pPr>
            <w:r w:rsidRPr="00000C71">
              <w:rPr>
                <w:b/>
              </w:rPr>
              <w:t>7125,4</w:t>
            </w:r>
          </w:p>
        </w:tc>
        <w:tc>
          <w:tcPr>
            <w:tcW w:w="1417" w:type="dxa"/>
            <w:shd w:val="clear" w:color="auto" w:fill="auto"/>
          </w:tcPr>
          <w:p w:rsidR="007E0858" w:rsidRPr="00000C71" w:rsidRDefault="00DB3A18" w:rsidP="003D3A01">
            <w:pPr>
              <w:rPr>
                <w:b/>
              </w:rPr>
            </w:pPr>
            <w:r w:rsidRPr="00000C71">
              <w:rPr>
                <w:b/>
              </w:rPr>
              <w:t>9152,3</w:t>
            </w:r>
          </w:p>
        </w:tc>
        <w:tc>
          <w:tcPr>
            <w:tcW w:w="1383" w:type="dxa"/>
            <w:shd w:val="clear" w:color="auto" w:fill="auto"/>
          </w:tcPr>
          <w:p w:rsidR="007E0858" w:rsidRPr="00000C71" w:rsidRDefault="00DB3A18" w:rsidP="003D3A01">
            <w:pPr>
              <w:rPr>
                <w:b/>
              </w:rPr>
            </w:pPr>
            <w:r w:rsidRPr="00000C71">
              <w:rPr>
                <w:b/>
              </w:rPr>
              <w:t>7519,55</w:t>
            </w:r>
          </w:p>
        </w:tc>
      </w:tr>
      <w:tr w:rsidR="003D3A01" w:rsidRPr="00000C71" w:rsidTr="00AF012F">
        <w:tc>
          <w:tcPr>
            <w:tcW w:w="3652" w:type="dxa"/>
            <w:shd w:val="clear" w:color="auto" w:fill="auto"/>
          </w:tcPr>
          <w:p w:rsidR="003D3A01" w:rsidRPr="00000C71" w:rsidRDefault="00F71841" w:rsidP="003D3A01">
            <w:pPr>
              <w:rPr>
                <w:b/>
              </w:rPr>
            </w:pPr>
            <w:r w:rsidRPr="00000C71">
              <w:rPr>
                <w:b/>
              </w:rPr>
              <w:t>Налог на совокупный доход</w:t>
            </w:r>
          </w:p>
        </w:tc>
        <w:tc>
          <w:tcPr>
            <w:tcW w:w="1559" w:type="dxa"/>
            <w:shd w:val="clear" w:color="auto" w:fill="auto"/>
          </w:tcPr>
          <w:p w:rsidR="003D3A01" w:rsidRPr="00000C71" w:rsidRDefault="00894CD8" w:rsidP="003D3A01">
            <w:pPr>
              <w:rPr>
                <w:b/>
              </w:rPr>
            </w:pPr>
            <w:r w:rsidRPr="00000C71">
              <w:rPr>
                <w:b/>
              </w:rPr>
              <w:t>17419,0</w:t>
            </w:r>
          </w:p>
        </w:tc>
        <w:tc>
          <w:tcPr>
            <w:tcW w:w="1560" w:type="dxa"/>
            <w:shd w:val="clear" w:color="auto" w:fill="auto"/>
          </w:tcPr>
          <w:p w:rsidR="003D3A01" w:rsidRPr="00000C71" w:rsidRDefault="00894CD8" w:rsidP="003D3A01">
            <w:pPr>
              <w:rPr>
                <w:b/>
              </w:rPr>
            </w:pPr>
            <w:r w:rsidRPr="00000C71">
              <w:rPr>
                <w:b/>
              </w:rPr>
              <w:t>17396,0</w:t>
            </w:r>
          </w:p>
        </w:tc>
        <w:tc>
          <w:tcPr>
            <w:tcW w:w="1417" w:type="dxa"/>
            <w:shd w:val="clear" w:color="auto" w:fill="auto"/>
          </w:tcPr>
          <w:p w:rsidR="003D3A01" w:rsidRPr="00000C71" w:rsidRDefault="00894CD8" w:rsidP="003D3A01">
            <w:pPr>
              <w:rPr>
                <w:b/>
              </w:rPr>
            </w:pPr>
            <w:r w:rsidRPr="00000C71">
              <w:rPr>
                <w:b/>
              </w:rPr>
              <w:t>18456,5</w:t>
            </w:r>
          </w:p>
        </w:tc>
        <w:tc>
          <w:tcPr>
            <w:tcW w:w="1383" w:type="dxa"/>
            <w:shd w:val="clear" w:color="auto" w:fill="auto"/>
          </w:tcPr>
          <w:p w:rsidR="003D3A01" w:rsidRPr="00000C71" w:rsidRDefault="00894CD8" w:rsidP="003D3A01">
            <w:pPr>
              <w:rPr>
                <w:b/>
              </w:rPr>
            </w:pPr>
            <w:r w:rsidRPr="00000C71">
              <w:rPr>
                <w:b/>
              </w:rPr>
              <w:t>19537,0</w:t>
            </w:r>
          </w:p>
        </w:tc>
      </w:tr>
      <w:tr w:rsidR="003D3A01" w:rsidRPr="00000C71" w:rsidTr="00AF012F">
        <w:tc>
          <w:tcPr>
            <w:tcW w:w="3652" w:type="dxa"/>
            <w:shd w:val="clear" w:color="auto" w:fill="auto"/>
          </w:tcPr>
          <w:p w:rsidR="003D3A01" w:rsidRPr="00000C71" w:rsidRDefault="00362256" w:rsidP="003D3A01">
            <w:r w:rsidRPr="00000C71">
              <w:t>ЕНВД</w:t>
            </w:r>
          </w:p>
        </w:tc>
        <w:tc>
          <w:tcPr>
            <w:tcW w:w="1559" w:type="dxa"/>
            <w:shd w:val="clear" w:color="auto" w:fill="auto"/>
          </w:tcPr>
          <w:p w:rsidR="003D3A01" w:rsidRPr="00000C71" w:rsidRDefault="00894CD8" w:rsidP="003D3A01">
            <w:r w:rsidRPr="00000C71">
              <w:t>17113,0</w:t>
            </w:r>
          </w:p>
        </w:tc>
        <w:tc>
          <w:tcPr>
            <w:tcW w:w="1560" w:type="dxa"/>
            <w:shd w:val="clear" w:color="auto" w:fill="auto"/>
          </w:tcPr>
          <w:p w:rsidR="003D3A01" w:rsidRPr="00000C71" w:rsidRDefault="00894CD8" w:rsidP="003D3A01">
            <w:r w:rsidRPr="00000C71">
              <w:t>16790,0</w:t>
            </w:r>
          </w:p>
        </w:tc>
        <w:tc>
          <w:tcPr>
            <w:tcW w:w="1417" w:type="dxa"/>
            <w:shd w:val="clear" w:color="auto" w:fill="auto"/>
          </w:tcPr>
          <w:p w:rsidR="003D3A01" w:rsidRPr="00000C71" w:rsidRDefault="00894CD8" w:rsidP="003D3A01">
            <w:r w:rsidRPr="00000C71">
              <w:t>17800,0</w:t>
            </w:r>
          </w:p>
        </w:tc>
        <w:tc>
          <w:tcPr>
            <w:tcW w:w="1383" w:type="dxa"/>
            <w:shd w:val="clear" w:color="auto" w:fill="auto"/>
          </w:tcPr>
          <w:p w:rsidR="003D3A01" w:rsidRPr="00000C71" w:rsidRDefault="00894CD8" w:rsidP="003D3A01">
            <w:r w:rsidRPr="00000C71">
              <w:t>18830,0</w:t>
            </w:r>
          </w:p>
        </w:tc>
      </w:tr>
      <w:tr w:rsidR="003D3A01" w:rsidRPr="00000C71" w:rsidTr="00AF012F">
        <w:tc>
          <w:tcPr>
            <w:tcW w:w="3652" w:type="dxa"/>
            <w:shd w:val="clear" w:color="auto" w:fill="auto"/>
          </w:tcPr>
          <w:p w:rsidR="003D3A01" w:rsidRPr="00000C71" w:rsidRDefault="00362256" w:rsidP="003D3A01">
            <w:r w:rsidRPr="00000C71">
              <w:t>ЕСХН</w:t>
            </w:r>
          </w:p>
        </w:tc>
        <w:tc>
          <w:tcPr>
            <w:tcW w:w="1559" w:type="dxa"/>
            <w:shd w:val="clear" w:color="auto" w:fill="auto"/>
          </w:tcPr>
          <w:p w:rsidR="003D3A01" w:rsidRPr="00000C71" w:rsidRDefault="00894CD8" w:rsidP="003D3A01">
            <w:r w:rsidRPr="00000C71">
              <w:t>24,0</w:t>
            </w:r>
          </w:p>
        </w:tc>
        <w:tc>
          <w:tcPr>
            <w:tcW w:w="1560" w:type="dxa"/>
            <w:shd w:val="clear" w:color="auto" w:fill="auto"/>
          </w:tcPr>
          <w:p w:rsidR="003D3A01" w:rsidRPr="00000C71" w:rsidRDefault="00894CD8" w:rsidP="003D3A01">
            <w:r w:rsidRPr="00000C71">
              <w:t>6,0</w:t>
            </w:r>
          </w:p>
        </w:tc>
        <w:tc>
          <w:tcPr>
            <w:tcW w:w="1417" w:type="dxa"/>
            <w:shd w:val="clear" w:color="auto" w:fill="auto"/>
          </w:tcPr>
          <w:p w:rsidR="003D3A01" w:rsidRPr="00000C71" w:rsidRDefault="00894CD8" w:rsidP="003D3A01">
            <w:r w:rsidRPr="00000C71">
              <w:t>6,5</w:t>
            </w:r>
          </w:p>
        </w:tc>
        <w:tc>
          <w:tcPr>
            <w:tcW w:w="1383" w:type="dxa"/>
            <w:shd w:val="clear" w:color="auto" w:fill="auto"/>
          </w:tcPr>
          <w:p w:rsidR="003D3A01" w:rsidRPr="00000C71" w:rsidRDefault="00894CD8" w:rsidP="003D3A01">
            <w:r w:rsidRPr="00000C71">
              <w:t>7</w:t>
            </w:r>
            <w:r w:rsidR="009C4927" w:rsidRPr="00000C71">
              <w:t>,0</w:t>
            </w:r>
          </w:p>
        </w:tc>
      </w:tr>
      <w:tr w:rsidR="00312F47" w:rsidRPr="00000C71" w:rsidTr="00AF012F">
        <w:tc>
          <w:tcPr>
            <w:tcW w:w="3652" w:type="dxa"/>
            <w:shd w:val="clear" w:color="auto" w:fill="auto"/>
          </w:tcPr>
          <w:p w:rsidR="00312F47" w:rsidRPr="00000C71" w:rsidRDefault="00312F47" w:rsidP="003D3A01">
            <w:r w:rsidRPr="00000C71">
              <w:t>Патент</w:t>
            </w:r>
          </w:p>
        </w:tc>
        <w:tc>
          <w:tcPr>
            <w:tcW w:w="1559" w:type="dxa"/>
            <w:shd w:val="clear" w:color="auto" w:fill="auto"/>
          </w:tcPr>
          <w:p w:rsidR="00312F47" w:rsidRPr="00000C71" w:rsidRDefault="009C4927" w:rsidP="003D3A01">
            <w:r w:rsidRPr="00000C71">
              <w:t>282,0</w:t>
            </w:r>
          </w:p>
        </w:tc>
        <w:tc>
          <w:tcPr>
            <w:tcW w:w="1560" w:type="dxa"/>
            <w:shd w:val="clear" w:color="auto" w:fill="auto"/>
          </w:tcPr>
          <w:p w:rsidR="00312F47" w:rsidRPr="00000C71" w:rsidRDefault="009C4927" w:rsidP="003D3A01">
            <w:r w:rsidRPr="00000C71">
              <w:t>600,0</w:t>
            </w:r>
          </w:p>
        </w:tc>
        <w:tc>
          <w:tcPr>
            <w:tcW w:w="1417" w:type="dxa"/>
            <w:shd w:val="clear" w:color="auto" w:fill="auto"/>
          </w:tcPr>
          <w:p w:rsidR="00312F47" w:rsidRPr="00000C71" w:rsidRDefault="009C4927" w:rsidP="003D3A01">
            <w:r w:rsidRPr="00000C71">
              <w:t>650,0</w:t>
            </w:r>
          </w:p>
        </w:tc>
        <w:tc>
          <w:tcPr>
            <w:tcW w:w="1383" w:type="dxa"/>
            <w:shd w:val="clear" w:color="auto" w:fill="auto"/>
          </w:tcPr>
          <w:p w:rsidR="00312F47" w:rsidRPr="00000C71" w:rsidRDefault="009C4927" w:rsidP="003D3A01">
            <w:r w:rsidRPr="00000C71">
              <w:t>700,0</w:t>
            </w:r>
          </w:p>
        </w:tc>
      </w:tr>
      <w:tr w:rsidR="003D3A01" w:rsidRPr="00000C71" w:rsidTr="00AF012F">
        <w:tc>
          <w:tcPr>
            <w:tcW w:w="3652" w:type="dxa"/>
            <w:shd w:val="clear" w:color="auto" w:fill="auto"/>
          </w:tcPr>
          <w:p w:rsidR="003D3A01" w:rsidRPr="00000C71" w:rsidRDefault="009964CB" w:rsidP="003D3A01">
            <w:pPr>
              <w:rPr>
                <w:b/>
              </w:rPr>
            </w:pPr>
            <w:r w:rsidRPr="00000C71">
              <w:rPr>
                <w:b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</w:tcPr>
          <w:p w:rsidR="003D3A01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9524,8</w:t>
            </w:r>
          </w:p>
        </w:tc>
        <w:tc>
          <w:tcPr>
            <w:tcW w:w="1560" w:type="dxa"/>
            <w:shd w:val="clear" w:color="auto" w:fill="auto"/>
          </w:tcPr>
          <w:p w:rsidR="003D3A01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9090,0</w:t>
            </w:r>
          </w:p>
        </w:tc>
        <w:tc>
          <w:tcPr>
            <w:tcW w:w="1417" w:type="dxa"/>
            <w:shd w:val="clear" w:color="auto" w:fill="auto"/>
          </w:tcPr>
          <w:p w:rsidR="003D3A01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10075,1</w:t>
            </w:r>
          </w:p>
        </w:tc>
        <w:tc>
          <w:tcPr>
            <w:tcW w:w="1383" w:type="dxa"/>
            <w:shd w:val="clear" w:color="auto" w:fill="auto"/>
          </w:tcPr>
          <w:p w:rsidR="003D3A01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10290,0</w:t>
            </w:r>
          </w:p>
        </w:tc>
      </w:tr>
      <w:tr w:rsidR="009964CB" w:rsidRPr="00000C71" w:rsidTr="00AF012F">
        <w:tc>
          <w:tcPr>
            <w:tcW w:w="3652" w:type="dxa"/>
            <w:shd w:val="clear" w:color="auto" w:fill="auto"/>
          </w:tcPr>
          <w:p w:rsidR="009964CB" w:rsidRPr="00000C71" w:rsidRDefault="009964CB" w:rsidP="003D3A01">
            <w:r w:rsidRPr="00000C71"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9964CB" w:rsidRPr="00000C71" w:rsidRDefault="009C4927" w:rsidP="003D3A01">
            <w:r w:rsidRPr="00000C71">
              <w:t>3475,7</w:t>
            </w:r>
          </w:p>
        </w:tc>
        <w:tc>
          <w:tcPr>
            <w:tcW w:w="1560" w:type="dxa"/>
            <w:shd w:val="clear" w:color="auto" w:fill="auto"/>
          </w:tcPr>
          <w:p w:rsidR="009964CB" w:rsidRPr="00000C71" w:rsidRDefault="009C4927" w:rsidP="003D3A01">
            <w:r w:rsidRPr="00000C71">
              <w:t>3350,0</w:t>
            </w:r>
          </w:p>
        </w:tc>
        <w:tc>
          <w:tcPr>
            <w:tcW w:w="1417" w:type="dxa"/>
            <w:shd w:val="clear" w:color="auto" w:fill="auto"/>
          </w:tcPr>
          <w:p w:rsidR="009964CB" w:rsidRPr="00000C71" w:rsidRDefault="009C4927" w:rsidP="003D3A01">
            <w:r w:rsidRPr="00000C71">
              <w:t>3420,0</w:t>
            </w:r>
          </w:p>
        </w:tc>
        <w:tc>
          <w:tcPr>
            <w:tcW w:w="1383" w:type="dxa"/>
            <w:shd w:val="clear" w:color="auto" w:fill="auto"/>
          </w:tcPr>
          <w:p w:rsidR="009964CB" w:rsidRPr="00000C71" w:rsidRDefault="009C4927" w:rsidP="003D3A01">
            <w:r w:rsidRPr="00000C71">
              <w:t>3490,0</w:t>
            </w:r>
          </w:p>
        </w:tc>
      </w:tr>
      <w:tr w:rsidR="009964CB" w:rsidRPr="00000C71" w:rsidTr="00AF012F">
        <w:tc>
          <w:tcPr>
            <w:tcW w:w="3652" w:type="dxa"/>
            <w:shd w:val="clear" w:color="auto" w:fill="auto"/>
          </w:tcPr>
          <w:p w:rsidR="009964CB" w:rsidRPr="00000C71" w:rsidRDefault="009964CB" w:rsidP="003D3A01">
            <w:r w:rsidRPr="00000C71"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9964CB" w:rsidRPr="00000C71" w:rsidRDefault="009C4927" w:rsidP="003D3A01">
            <w:r w:rsidRPr="00000C71">
              <w:t>6049,1</w:t>
            </w:r>
          </w:p>
        </w:tc>
        <w:tc>
          <w:tcPr>
            <w:tcW w:w="1560" w:type="dxa"/>
            <w:shd w:val="clear" w:color="auto" w:fill="auto"/>
          </w:tcPr>
          <w:p w:rsidR="009964CB" w:rsidRPr="00000C71" w:rsidRDefault="009C4927" w:rsidP="003D3A01">
            <w:r w:rsidRPr="00000C71">
              <w:t>5740,0</w:t>
            </w:r>
          </w:p>
        </w:tc>
        <w:tc>
          <w:tcPr>
            <w:tcW w:w="1417" w:type="dxa"/>
            <w:shd w:val="clear" w:color="auto" w:fill="auto"/>
          </w:tcPr>
          <w:p w:rsidR="009964CB" w:rsidRPr="00000C71" w:rsidRDefault="009C4927" w:rsidP="003D3A01">
            <w:r w:rsidRPr="00000C71">
              <w:t>6655,1</w:t>
            </w:r>
          </w:p>
        </w:tc>
        <w:tc>
          <w:tcPr>
            <w:tcW w:w="1383" w:type="dxa"/>
            <w:shd w:val="clear" w:color="auto" w:fill="auto"/>
          </w:tcPr>
          <w:p w:rsidR="009964CB" w:rsidRPr="00000C71" w:rsidRDefault="009C4927" w:rsidP="003D3A01">
            <w:r w:rsidRPr="00000C71">
              <w:t>6800,0</w:t>
            </w:r>
          </w:p>
        </w:tc>
      </w:tr>
      <w:tr w:rsidR="009964CB" w:rsidRPr="00000C71" w:rsidTr="00AF012F">
        <w:tc>
          <w:tcPr>
            <w:tcW w:w="3652" w:type="dxa"/>
            <w:shd w:val="clear" w:color="auto" w:fill="auto"/>
          </w:tcPr>
          <w:p w:rsidR="009964CB" w:rsidRPr="00000C71" w:rsidRDefault="009964CB" w:rsidP="003D3A01">
            <w:pPr>
              <w:rPr>
                <w:b/>
              </w:rPr>
            </w:pPr>
            <w:r w:rsidRPr="00000C71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</w:tcPr>
          <w:p w:rsidR="009964CB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1619,9</w:t>
            </w:r>
          </w:p>
        </w:tc>
        <w:tc>
          <w:tcPr>
            <w:tcW w:w="1560" w:type="dxa"/>
            <w:shd w:val="clear" w:color="auto" w:fill="auto"/>
          </w:tcPr>
          <w:p w:rsidR="009964CB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1824,0</w:t>
            </w:r>
          </w:p>
        </w:tc>
        <w:tc>
          <w:tcPr>
            <w:tcW w:w="1417" w:type="dxa"/>
            <w:shd w:val="clear" w:color="auto" w:fill="auto"/>
          </w:tcPr>
          <w:p w:rsidR="009964CB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1857,0</w:t>
            </w:r>
          </w:p>
        </w:tc>
        <w:tc>
          <w:tcPr>
            <w:tcW w:w="1383" w:type="dxa"/>
            <w:shd w:val="clear" w:color="auto" w:fill="auto"/>
          </w:tcPr>
          <w:p w:rsidR="009964CB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1907,0</w:t>
            </w:r>
          </w:p>
        </w:tc>
      </w:tr>
      <w:tr w:rsidR="009964CB" w:rsidRPr="00000C71" w:rsidTr="00AF012F">
        <w:tc>
          <w:tcPr>
            <w:tcW w:w="3652" w:type="dxa"/>
            <w:shd w:val="clear" w:color="auto" w:fill="auto"/>
          </w:tcPr>
          <w:p w:rsidR="009964CB" w:rsidRPr="00000C71" w:rsidRDefault="00504FF4" w:rsidP="003D3A01">
            <w:pPr>
              <w:rPr>
                <w:b/>
              </w:rPr>
            </w:pPr>
            <w:r w:rsidRPr="00000C71">
              <w:rPr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shd w:val="clear" w:color="auto" w:fill="auto"/>
          </w:tcPr>
          <w:p w:rsidR="009964CB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9964CB" w:rsidRPr="00000C71" w:rsidRDefault="009C4927" w:rsidP="005F62C3">
            <w:pPr>
              <w:rPr>
                <w:b/>
              </w:rPr>
            </w:pPr>
            <w:r w:rsidRPr="00000C7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964CB" w:rsidRPr="00000C71" w:rsidRDefault="009C4927" w:rsidP="005F62C3">
            <w:pPr>
              <w:rPr>
                <w:b/>
              </w:rPr>
            </w:pPr>
            <w:r w:rsidRPr="00000C71">
              <w:rPr>
                <w:b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9964CB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0</w:t>
            </w:r>
          </w:p>
        </w:tc>
      </w:tr>
      <w:tr w:rsidR="00504FF4" w:rsidRPr="00000C71" w:rsidTr="00AF012F">
        <w:tc>
          <w:tcPr>
            <w:tcW w:w="3652" w:type="dxa"/>
            <w:shd w:val="clear" w:color="auto" w:fill="auto"/>
          </w:tcPr>
          <w:p w:rsidR="00504FF4" w:rsidRPr="00000C71" w:rsidRDefault="00504FF4" w:rsidP="00AF012F">
            <w:pPr>
              <w:jc w:val="both"/>
              <w:rPr>
                <w:b/>
              </w:rPr>
            </w:pPr>
            <w:r w:rsidRPr="00000C7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7691,9</w:t>
            </w:r>
          </w:p>
        </w:tc>
        <w:tc>
          <w:tcPr>
            <w:tcW w:w="1560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5800,0</w:t>
            </w:r>
          </w:p>
        </w:tc>
        <w:tc>
          <w:tcPr>
            <w:tcW w:w="1417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5150,0</w:t>
            </w:r>
          </w:p>
        </w:tc>
        <w:tc>
          <w:tcPr>
            <w:tcW w:w="1383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5150,0</w:t>
            </w:r>
          </w:p>
        </w:tc>
      </w:tr>
      <w:tr w:rsidR="00504FF4" w:rsidRPr="00000C71" w:rsidTr="00AF012F">
        <w:tc>
          <w:tcPr>
            <w:tcW w:w="3652" w:type="dxa"/>
            <w:shd w:val="clear" w:color="auto" w:fill="auto"/>
          </w:tcPr>
          <w:p w:rsidR="00504FF4" w:rsidRPr="00000C71" w:rsidRDefault="00504FF4" w:rsidP="00AF012F">
            <w:pPr>
              <w:jc w:val="both"/>
              <w:rPr>
                <w:b/>
              </w:rPr>
            </w:pPr>
            <w:r w:rsidRPr="00000C71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408,0</w:t>
            </w:r>
          </w:p>
        </w:tc>
        <w:tc>
          <w:tcPr>
            <w:tcW w:w="1560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451,2</w:t>
            </w:r>
          </w:p>
        </w:tc>
        <w:tc>
          <w:tcPr>
            <w:tcW w:w="1417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476,4</w:t>
            </w:r>
          </w:p>
        </w:tc>
        <w:tc>
          <w:tcPr>
            <w:tcW w:w="1383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497,5</w:t>
            </w:r>
          </w:p>
        </w:tc>
      </w:tr>
      <w:tr w:rsidR="00504FF4" w:rsidRPr="00000C71" w:rsidTr="00AF012F">
        <w:tc>
          <w:tcPr>
            <w:tcW w:w="3652" w:type="dxa"/>
            <w:shd w:val="clear" w:color="auto" w:fill="auto"/>
          </w:tcPr>
          <w:p w:rsidR="00504FF4" w:rsidRPr="00000C71" w:rsidRDefault="00504FF4" w:rsidP="00AF012F">
            <w:pPr>
              <w:jc w:val="both"/>
              <w:rPr>
                <w:b/>
              </w:rPr>
            </w:pPr>
            <w:r w:rsidRPr="00000C71">
              <w:rPr>
                <w:b/>
              </w:rPr>
              <w:t>Доходы 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275,8</w:t>
            </w:r>
          </w:p>
        </w:tc>
        <w:tc>
          <w:tcPr>
            <w:tcW w:w="1560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62,0</w:t>
            </w:r>
          </w:p>
        </w:tc>
        <w:tc>
          <w:tcPr>
            <w:tcW w:w="1417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262,0</w:t>
            </w:r>
          </w:p>
        </w:tc>
        <w:tc>
          <w:tcPr>
            <w:tcW w:w="1383" w:type="dxa"/>
            <w:shd w:val="clear" w:color="auto" w:fill="auto"/>
          </w:tcPr>
          <w:p w:rsidR="00504FF4" w:rsidRPr="00000C71" w:rsidRDefault="009C4927" w:rsidP="003D3A01">
            <w:pPr>
              <w:rPr>
                <w:b/>
              </w:rPr>
            </w:pPr>
            <w:r w:rsidRPr="00000C71">
              <w:rPr>
                <w:b/>
              </w:rPr>
              <w:t>312,0</w:t>
            </w:r>
          </w:p>
        </w:tc>
      </w:tr>
      <w:tr w:rsidR="00504FF4" w:rsidRPr="00000C71" w:rsidTr="00AF012F">
        <w:tc>
          <w:tcPr>
            <w:tcW w:w="3652" w:type="dxa"/>
            <w:shd w:val="clear" w:color="auto" w:fill="auto"/>
          </w:tcPr>
          <w:p w:rsidR="00504FF4" w:rsidRPr="00000C71" w:rsidRDefault="00504FF4" w:rsidP="00AF012F">
            <w:pPr>
              <w:jc w:val="both"/>
              <w:rPr>
                <w:b/>
              </w:rPr>
            </w:pPr>
            <w:r w:rsidRPr="00000C71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</w:tcPr>
          <w:p w:rsidR="00504FF4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31838,3</w:t>
            </w:r>
          </w:p>
        </w:tc>
        <w:tc>
          <w:tcPr>
            <w:tcW w:w="1560" w:type="dxa"/>
            <w:shd w:val="clear" w:color="auto" w:fill="auto"/>
          </w:tcPr>
          <w:p w:rsidR="00504FF4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17000,0</w:t>
            </w:r>
          </w:p>
        </w:tc>
        <w:tc>
          <w:tcPr>
            <w:tcW w:w="1417" w:type="dxa"/>
            <w:shd w:val="clear" w:color="auto" w:fill="auto"/>
          </w:tcPr>
          <w:p w:rsidR="00504FF4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7000,0</w:t>
            </w:r>
          </w:p>
        </w:tc>
        <w:tc>
          <w:tcPr>
            <w:tcW w:w="1383" w:type="dxa"/>
            <w:shd w:val="clear" w:color="auto" w:fill="auto"/>
          </w:tcPr>
          <w:p w:rsidR="00504FF4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6000,0</w:t>
            </w:r>
          </w:p>
        </w:tc>
      </w:tr>
      <w:tr w:rsidR="00504FF4" w:rsidRPr="00000C71" w:rsidTr="00AF012F">
        <w:tc>
          <w:tcPr>
            <w:tcW w:w="3652" w:type="dxa"/>
            <w:shd w:val="clear" w:color="auto" w:fill="auto"/>
          </w:tcPr>
          <w:p w:rsidR="00504FF4" w:rsidRPr="00000C71" w:rsidRDefault="00504FF4" w:rsidP="00AF012F">
            <w:pPr>
              <w:jc w:val="both"/>
              <w:rPr>
                <w:b/>
              </w:rPr>
            </w:pPr>
            <w:r w:rsidRPr="00000C71">
              <w:rPr>
                <w:b/>
              </w:rPr>
              <w:lastRenderedPageBreak/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</w:tcPr>
          <w:p w:rsidR="00504FF4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1980,1</w:t>
            </w:r>
          </w:p>
        </w:tc>
        <w:tc>
          <w:tcPr>
            <w:tcW w:w="1560" w:type="dxa"/>
            <w:shd w:val="clear" w:color="auto" w:fill="auto"/>
          </w:tcPr>
          <w:p w:rsidR="00504FF4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2016,0</w:t>
            </w:r>
          </w:p>
        </w:tc>
        <w:tc>
          <w:tcPr>
            <w:tcW w:w="1417" w:type="dxa"/>
            <w:shd w:val="clear" w:color="auto" w:fill="auto"/>
          </w:tcPr>
          <w:p w:rsidR="00504FF4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2224,0</w:t>
            </w:r>
          </w:p>
        </w:tc>
        <w:tc>
          <w:tcPr>
            <w:tcW w:w="1383" w:type="dxa"/>
            <w:shd w:val="clear" w:color="auto" w:fill="auto"/>
          </w:tcPr>
          <w:p w:rsidR="00504FF4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2249,0</w:t>
            </w:r>
          </w:p>
        </w:tc>
      </w:tr>
      <w:tr w:rsidR="00567ECB" w:rsidRPr="00000C71" w:rsidTr="00AF012F">
        <w:tc>
          <w:tcPr>
            <w:tcW w:w="3652" w:type="dxa"/>
            <w:shd w:val="clear" w:color="auto" w:fill="auto"/>
          </w:tcPr>
          <w:p w:rsidR="00567ECB" w:rsidRPr="00000C71" w:rsidRDefault="00D8454D" w:rsidP="00AF012F">
            <w:pPr>
              <w:jc w:val="both"/>
              <w:rPr>
                <w:b/>
              </w:rPr>
            </w:pPr>
            <w:r w:rsidRPr="00000C71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567ECB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380649,1</w:t>
            </w:r>
          </w:p>
        </w:tc>
        <w:tc>
          <w:tcPr>
            <w:tcW w:w="1560" w:type="dxa"/>
            <w:shd w:val="clear" w:color="auto" w:fill="auto"/>
          </w:tcPr>
          <w:p w:rsidR="00567ECB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325162,5</w:t>
            </w:r>
          </w:p>
        </w:tc>
        <w:tc>
          <w:tcPr>
            <w:tcW w:w="1417" w:type="dxa"/>
            <w:shd w:val="clear" w:color="auto" w:fill="auto"/>
          </w:tcPr>
          <w:p w:rsidR="00567ECB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302426,4</w:t>
            </w:r>
          </w:p>
        </w:tc>
        <w:tc>
          <w:tcPr>
            <w:tcW w:w="1383" w:type="dxa"/>
            <w:shd w:val="clear" w:color="auto" w:fill="auto"/>
          </w:tcPr>
          <w:p w:rsidR="00567ECB" w:rsidRPr="00000C71" w:rsidRDefault="006E34A6" w:rsidP="003D3A01">
            <w:pPr>
              <w:rPr>
                <w:b/>
              </w:rPr>
            </w:pPr>
            <w:r w:rsidRPr="00000C71">
              <w:rPr>
                <w:b/>
              </w:rPr>
              <w:t>301084,7</w:t>
            </w:r>
          </w:p>
        </w:tc>
      </w:tr>
      <w:tr w:rsidR="00AF012F" w:rsidRPr="00000C71" w:rsidTr="00AF012F">
        <w:tc>
          <w:tcPr>
            <w:tcW w:w="3652" w:type="dxa"/>
            <w:shd w:val="clear" w:color="auto" w:fill="auto"/>
          </w:tcPr>
          <w:p w:rsidR="00AF012F" w:rsidRPr="00000C71" w:rsidRDefault="00AF012F" w:rsidP="00D26326">
            <w:pPr>
              <w:jc w:val="both"/>
            </w:pPr>
            <w:r w:rsidRPr="00000C71">
              <w:t xml:space="preserve">Дотации </w:t>
            </w:r>
            <w:r w:rsidR="00D26326" w:rsidRPr="00000C71">
              <w:t>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</w:tcPr>
          <w:p w:rsidR="00AF012F" w:rsidRPr="00000C71" w:rsidRDefault="003E4DE5" w:rsidP="003D3A01">
            <w:r w:rsidRPr="00000C71">
              <w:t>164963,2</w:t>
            </w:r>
          </w:p>
        </w:tc>
        <w:tc>
          <w:tcPr>
            <w:tcW w:w="1560" w:type="dxa"/>
            <w:shd w:val="clear" w:color="auto" w:fill="auto"/>
          </w:tcPr>
          <w:p w:rsidR="00AF012F" w:rsidRPr="00000C71" w:rsidRDefault="003E4DE5" w:rsidP="003D3A01">
            <w:r w:rsidRPr="00000C71">
              <w:t>161839,8</w:t>
            </w:r>
          </w:p>
        </w:tc>
        <w:tc>
          <w:tcPr>
            <w:tcW w:w="1417" w:type="dxa"/>
            <w:shd w:val="clear" w:color="auto" w:fill="auto"/>
          </w:tcPr>
          <w:p w:rsidR="00AF012F" w:rsidRPr="00000C71" w:rsidRDefault="003E4DE5" w:rsidP="003D3A01">
            <w:r w:rsidRPr="00000C71">
              <w:t>166593,4</w:t>
            </w:r>
          </w:p>
        </w:tc>
        <w:tc>
          <w:tcPr>
            <w:tcW w:w="1383" w:type="dxa"/>
            <w:shd w:val="clear" w:color="auto" w:fill="auto"/>
          </w:tcPr>
          <w:p w:rsidR="00AF012F" w:rsidRPr="00000C71" w:rsidRDefault="003E4DE5" w:rsidP="003D3A01">
            <w:r w:rsidRPr="00000C71">
              <w:t>171340,0</w:t>
            </w:r>
          </w:p>
        </w:tc>
      </w:tr>
      <w:tr w:rsidR="00D26326" w:rsidRPr="00000C71" w:rsidTr="00AF012F">
        <w:tc>
          <w:tcPr>
            <w:tcW w:w="3652" w:type="dxa"/>
            <w:shd w:val="clear" w:color="auto" w:fill="auto"/>
          </w:tcPr>
          <w:p w:rsidR="00D26326" w:rsidRPr="00000C71" w:rsidRDefault="00D26326" w:rsidP="00AF012F">
            <w:pPr>
              <w:jc w:val="both"/>
            </w:pPr>
            <w:r w:rsidRPr="00000C71">
              <w:t xml:space="preserve">Субсидии </w:t>
            </w:r>
            <w:r w:rsidR="00B55298" w:rsidRPr="00000C71">
              <w:t>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D26326" w:rsidRPr="00000C71" w:rsidRDefault="0056350A" w:rsidP="003D3A01">
            <w:r w:rsidRPr="00000C71">
              <w:t>88695,4</w:t>
            </w:r>
          </w:p>
        </w:tc>
        <w:tc>
          <w:tcPr>
            <w:tcW w:w="1560" w:type="dxa"/>
            <w:shd w:val="clear" w:color="auto" w:fill="auto"/>
          </w:tcPr>
          <w:p w:rsidR="00D26326" w:rsidRPr="00000C71" w:rsidRDefault="0056350A" w:rsidP="003D3A01">
            <w:r w:rsidRPr="00000C71">
              <w:t>16062,8</w:t>
            </w:r>
          </w:p>
        </w:tc>
        <w:tc>
          <w:tcPr>
            <w:tcW w:w="1417" w:type="dxa"/>
            <w:shd w:val="clear" w:color="auto" w:fill="auto"/>
          </w:tcPr>
          <w:p w:rsidR="00D26326" w:rsidRPr="00000C71" w:rsidRDefault="0056350A" w:rsidP="003D3A01">
            <w:r w:rsidRPr="00000C71">
              <w:t>6723,3</w:t>
            </w:r>
          </w:p>
        </w:tc>
        <w:tc>
          <w:tcPr>
            <w:tcW w:w="1383" w:type="dxa"/>
            <w:shd w:val="clear" w:color="auto" w:fill="auto"/>
          </w:tcPr>
          <w:p w:rsidR="00D26326" w:rsidRPr="00000C71" w:rsidRDefault="0056350A" w:rsidP="003D3A01">
            <w:r w:rsidRPr="00000C71">
              <w:t>772,8</w:t>
            </w:r>
          </w:p>
        </w:tc>
      </w:tr>
      <w:tr w:rsidR="00D26326" w:rsidRPr="00000C71" w:rsidTr="00AF012F">
        <w:tc>
          <w:tcPr>
            <w:tcW w:w="3652" w:type="dxa"/>
            <w:shd w:val="clear" w:color="auto" w:fill="auto"/>
          </w:tcPr>
          <w:p w:rsidR="00D26326" w:rsidRPr="00000C71" w:rsidRDefault="00B55298" w:rsidP="00B55298">
            <w:pPr>
              <w:jc w:val="both"/>
            </w:pPr>
            <w:r w:rsidRPr="00000C7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</w:tcPr>
          <w:p w:rsidR="00D26326" w:rsidRPr="00000C71" w:rsidRDefault="0056350A" w:rsidP="003D3A01">
            <w:r w:rsidRPr="00000C71">
              <w:t>141849,6</w:t>
            </w:r>
          </w:p>
        </w:tc>
        <w:tc>
          <w:tcPr>
            <w:tcW w:w="1560" w:type="dxa"/>
            <w:shd w:val="clear" w:color="auto" w:fill="auto"/>
          </w:tcPr>
          <w:p w:rsidR="00D26326" w:rsidRPr="00000C71" w:rsidRDefault="0056350A" w:rsidP="003D3A01">
            <w:r w:rsidRPr="00000C71">
              <w:t>147253,4</w:t>
            </w:r>
          </w:p>
        </w:tc>
        <w:tc>
          <w:tcPr>
            <w:tcW w:w="1417" w:type="dxa"/>
            <w:shd w:val="clear" w:color="auto" w:fill="auto"/>
          </w:tcPr>
          <w:p w:rsidR="00D26326" w:rsidRPr="00000C71" w:rsidRDefault="0056350A" w:rsidP="003D3A01">
            <w:r w:rsidRPr="00000C71">
              <w:t>129103,2</w:t>
            </w:r>
          </w:p>
        </w:tc>
        <w:tc>
          <w:tcPr>
            <w:tcW w:w="1383" w:type="dxa"/>
            <w:shd w:val="clear" w:color="auto" w:fill="auto"/>
          </w:tcPr>
          <w:p w:rsidR="00D26326" w:rsidRPr="00000C71" w:rsidRDefault="0056350A" w:rsidP="003D3A01">
            <w:r w:rsidRPr="00000C71">
              <w:t>128965,4</w:t>
            </w:r>
          </w:p>
        </w:tc>
      </w:tr>
      <w:tr w:rsidR="00B55298" w:rsidRPr="00000C71" w:rsidTr="00AF012F">
        <w:tc>
          <w:tcPr>
            <w:tcW w:w="3652" w:type="dxa"/>
            <w:shd w:val="clear" w:color="auto" w:fill="auto"/>
          </w:tcPr>
          <w:p w:rsidR="00B55298" w:rsidRPr="00000C71" w:rsidRDefault="00B55298" w:rsidP="00B55298">
            <w:pPr>
              <w:jc w:val="both"/>
            </w:pPr>
            <w:r w:rsidRPr="00000C71"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B55298" w:rsidRPr="00000C71" w:rsidRDefault="0056350A" w:rsidP="003D3A01">
            <w:r w:rsidRPr="00000C71">
              <w:t>0</w:t>
            </w:r>
          </w:p>
        </w:tc>
        <w:tc>
          <w:tcPr>
            <w:tcW w:w="1560" w:type="dxa"/>
            <w:shd w:val="clear" w:color="auto" w:fill="auto"/>
          </w:tcPr>
          <w:p w:rsidR="00B55298" w:rsidRPr="00000C71" w:rsidRDefault="0056350A" w:rsidP="003D3A01">
            <w:r w:rsidRPr="00000C71">
              <w:t>6,5</w:t>
            </w:r>
          </w:p>
        </w:tc>
        <w:tc>
          <w:tcPr>
            <w:tcW w:w="1417" w:type="dxa"/>
            <w:shd w:val="clear" w:color="auto" w:fill="auto"/>
          </w:tcPr>
          <w:p w:rsidR="00B55298" w:rsidRPr="00000C71" w:rsidRDefault="0056350A" w:rsidP="003D3A01">
            <w:r w:rsidRPr="00000C71">
              <w:t>6,5</w:t>
            </w:r>
          </w:p>
        </w:tc>
        <w:tc>
          <w:tcPr>
            <w:tcW w:w="1383" w:type="dxa"/>
            <w:shd w:val="clear" w:color="auto" w:fill="auto"/>
          </w:tcPr>
          <w:p w:rsidR="00B55298" w:rsidRPr="00000C71" w:rsidRDefault="0056350A" w:rsidP="005E676C">
            <w:r w:rsidRPr="00000C71">
              <w:t>6,5</w:t>
            </w:r>
          </w:p>
        </w:tc>
      </w:tr>
      <w:tr w:rsidR="008B737C" w:rsidRPr="00000C71" w:rsidTr="00AF012F">
        <w:tc>
          <w:tcPr>
            <w:tcW w:w="3652" w:type="dxa"/>
            <w:shd w:val="clear" w:color="auto" w:fill="auto"/>
          </w:tcPr>
          <w:p w:rsidR="008B737C" w:rsidRPr="00000C71" w:rsidRDefault="008B737C" w:rsidP="00B55298">
            <w:pPr>
              <w:jc w:val="both"/>
            </w:pPr>
            <w:r w:rsidRPr="00000C71"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</w:tcPr>
          <w:p w:rsidR="008B737C" w:rsidRPr="00000C71" w:rsidRDefault="0056350A" w:rsidP="003D3A01">
            <w:r w:rsidRPr="00000C71">
              <w:t>33,8</w:t>
            </w:r>
          </w:p>
        </w:tc>
        <w:tc>
          <w:tcPr>
            <w:tcW w:w="1560" w:type="dxa"/>
            <w:shd w:val="clear" w:color="auto" w:fill="auto"/>
          </w:tcPr>
          <w:p w:rsidR="008B737C" w:rsidRPr="00000C71" w:rsidRDefault="0056350A" w:rsidP="003D3A01">
            <w:r w:rsidRPr="00000C71">
              <w:t>0</w:t>
            </w:r>
          </w:p>
        </w:tc>
        <w:tc>
          <w:tcPr>
            <w:tcW w:w="1417" w:type="dxa"/>
            <w:shd w:val="clear" w:color="auto" w:fill="auto"/>
          </w:tcPr>
          <w:p w:rsidR="008B737C" w:rsidRPr="00000C71" w:rsidRDefault="0056350A" w:rsidP="003D3A01">
            <w:r w:rsidRPr="00000C71">
              <w:t>0</w:t>
            </w:r>
          </w:p>
        </w:tc>
        <w:tc>
          <w:tcPr>
            <w:tcW w:w="1383" w:type="dxa"/>
            <w:shd w:val="clear" w:color="auto" w:fill="auto"/>
          </w:tcPr>
          <w:p w:rsidR="008B737C" w:rsidRPr="00000C71" w:rsidRDefault="0056350A" w:rsidP="003D3A01">
            <w:r w:rsidRPr="00000C71">
              <w:t>0</w:t>
            </w:r>
          </w:p>
        </w:tc>
      </w:tr>
      <w:tr w:rsidR="008B737C" w:rsidRPr="00000C71" w:rsidTr="00AF012F">
        <w:tc>
          <w:tcPr>
            <w:tcW w:w="3652" w:type="dxa"/>
            <w:shd w:val="clear" w:color="auto" w:fill="auto"/>
          </w:tcPr>
          <w:p w:rsidR="008B737C" w:rsidRPr="00000C71" w:rsidRDefault="008B737C" w:rsidP="00B55298">
            <w:pPr>
              <w:jc w:val="both"/>
            </w:pPr>
            <w:r w:rsidRPr="00000C71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</w:tcPr>
          <w:p w:rsidR="008B737C" w:rsidRPr="00000C71" w:rsidRDefault="0056350A" w:rsidP="003D3A01">
            <w:r w:rsidRPr="00000C71">
              <w:t>-14892,9</w:t>
            </w:r>
          </w:p>
        </w:tc>
        <w:tc>
          <w:tcPr>
            <w:tcW w:w="1560" w:type="dxa"/>
            <w:shd w:val="clear" w:color="auto" w:fill="auto"/>
          </w:tcPr>
          <w:p w:rsidR="008B737C" w:rsidRPr="00000C71" w:rsidRDefault="0056350A" w:rsidP="003D3A01">
            <w:r w:rsidRPr="00000C71">
              <w:t>0</w:t>
            </w:r>
          </w:p>
        </w:tc>
        <w:tc>
          <w:tcPr>
            <w:tcW w:w="1417" w:type="dxa"/>
            <w:shd w:val="clear" w:color="auto" w:fill="auto"/>
          </w:tcPr>
          <w:p w:rsidR="008B737C" w:rsidRPr="00000C71" w:rsidRDefault="0056350A" w:rsidP="003D3A01">
            <w:r w:rsidRPr="00000C71">
              <w:t>0</w:t>
            </w:r>
          </w:p>
        </w:tc>
        <w:tc>
          <w:tcPr>
            <w:tcW w:w="1383" w:type="dxa"/>
            <w:shd w:val="clear" w:color="auto" w:fill="auto"/>
          </w:tcPr>
          <w:p w:rsidR="008B737C" w:rsidRPr="00000C71" w:rsidRDefault="0056350A" w:rsidP="003D3A01">
            <w:r w:rsidRPr="00000C71">
              <w:t>0</w:t>
            </w:r>
          </w:p>
        </w:tc>
      </w:tr>
      <w:tr w:rsidR="00B55298" w:rsidRPr="00000C71" w:rsidTr="00AF012F">
        <w:tc>
          <w:tcPr>
            <w:tcW w:w="3652" w:type="dxa"/>
            <w:shd w:val="clear" w:color="auto" w:fill="auto"/>
          </w:tcPr>
          <w:p w:rsidR="00B55298" w:rsidRPr="00000C71" w:rsidRDefault="00B55298" w:rsidP="00B55298">
            <w:pPr>
              <w:jc w:val="both"/>
              <w:rPr>
                <w:b/>
              </w:rPr>
            </w:pPr>
            <w:r w:rsidRPr="00000C71">
              <w:rPr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B55298" w:rsidRPr="00000C71" w:rsidRDefault="00E149A5" w:rsidP="003D3A01">
            <w:pPr>
              <w:rPr>
                <w:b/>
              </w:rPr>
            </w:pPr>
            <w:r w:rsidRPr="00000C71">
              <w:rPr>
                <w:b/>
              </w:rPr>
              <w:t>505071,9</w:t>
            </w:r>
          </w:p>
        </w:tc>
        <w:tc>
          <w:tcPr>
            <w:tcW w:w="1560" w:type="dxa"/>
            <w:shd w:val="clear" w:color="auto" w:fill="auto"/>
          </w:tcPr>
          <w:p w:rsidR="00B55298" w:rsidRPr="00000C71" w:rsidRDefault="00E149A5" w:rsidP="003D3A01">
            <w:pPr>
              <w:rPr>
                <w:b/>
              </w:rPr>
            </w:pPr>
            <w:r w:rsidRPr="00000C71">
              <w:rPr>
                <w:b/>
              </w:rPr>
              <w:t>446891,9</w:t>
            </w:r>
          </w:p>
        </w:tc>
        <w:tc>
          <w:tcPr>
            <w:tcW w:w="1417" w:type="dxa"/>
            <w:shd w:val="clear" w:color="auto" w:fill="auto"/>
          </w:tcPr>
          <w:p w:rsidR="00B55298" w:rsidRPr="00000C71" w:rsidRDefault="00E149A5" w:rsidP="003D3A01">
            <w:pPr>
              <w:rPr>
                <w:b/>
              </w:rPr>
            </w:pPr>
            <w:r w:rsidRPr="00000C71">
              <w:rPr>
                <w:b/>
              </w:rPr>
              <w:t>423335,5</w:t>
            </w:r>
          </w:p>
        </w:tc>
        <w:tc>
          <w:tcPr>
            <w:tcW w:w="1383" w:type="dxa"/>
            <w:shd w:val="clear" w:color="auto" w:fill="auto"/>
          </w:tcPr>
          <w:p w:rsidR="00B55298" w:rsidRPr="00000C71" w:rsidRDefault="00E149A5" w:rsidP="003D3A01">
            <w:pPr>
              <w:rPr>
                <w:b/>
              </w:rPr>
            </w:pPr>
            <w:r w:rsidRPr="00000C71">
              <w:rPr>
                <w:b/>
              </w:rPr>
              <w:t>421878,1</w:t>
            </w:r>
          </w:p>
        </w:tc>
      </w:tr>
    </w:tbl>
    <w:p w:rsidR="005F62C3" w:rsidRDefault="005F62C3" w:rsidP="007143DC">
      <w:pPr>
        <w:ind w:firstLine="708"/>
        <w:jc w:val="both"/>
      </w:pPr>
    </w:p>
    <w:p w:rsidR="00967FE1" w:rsidRPr="00373F50" w:rsidRDefault="00967FE1" w:rsidP="007143DC">
      <w:pPr>
        <w:ind w:firstLine="708"/>
        <w:jc w:val="both"/>
      </w:pPr>
      <w:r w:rsidRPr="00373F50">
        <w:t>Анализ структуры доходов бюджета городского округа Вичуга за период 201</w:t>
      </w:r>
      <w:r w:rsidR="00781CAF" w:rsidRPr="00373F50">
        <w:t>4</w:t>
      </w:r>
      <w:r w:rsidRPr="00373F50">
        <w:t>-201</w:t>
      </w:r>
      <w:r w:rsidR="00781CAF" w:rsidRPr="00373F50">
        <w:t>7</w:t>
      </w:r>
      <w:r w:rsidRPr="00373F50">
        <w:t xml:space="preserve"> годов показал, что по отношению к доходам бюджета 201</w:t>
      </w:r>
      <w:r w:rsidR="00781CAF" w:rsidRPr="00373F50">
        <w:t>4</w:t>
      </w:r>
      <w:r w:rsidRPr="00373F50">
        <w:t xml:space="preserve"> года, отмечается снижение </w:t>
      </w:r>
      <w:r w:rsidR="00811A37" w:rsidRPr="00373F50">
        <w:t xml:space="preserve">показателей </w:t>
      </w:r>
      <w:r w:rsidRPr="00373F50">
        <w:t>доходов в планируемом периоде 201</w:t>
      </w:r>
      <w:r w:rsidR="00781CAF" w:rsidRPr="00373F50">
        <w:t>5</w:t>
      </w:r>
      <w:r w:rsidRPr="00373F50">
        <w:t>-201</w:t>
      </w:r>
      <w:r w:rsidR="00781CAF" w:rsidRPr="00373F50">
        <w:t>7</w:t>
      </w:r>
      <w:r w:rsidRPr="00373F50">
        <w:t xml:space="preserve"> год</w:t>
      </w:r>
      <w:r w:rsidR="00811A37" w:rsidRPr="00373F50">
        <w:t>ов</w:t>
      </w:r>
      <w:r w:rsidR="00880EFB" w:rsidRPr="00373F50">
        <w:t xml:space="preserve">. Данные </w:t>
      </w:r>
      <w:r w:rsidR="00811A37" w:rsidRPr="00373F50">
        <w:t xml:space="preserve"> </w:t>
      </w:r>
      <w:r w:rsidR="00880EFB" w:rsidRPr="00373F50">
        <w:t xml:space="preserve">изменения объясняются </w:t>
      </w:r>
      <w:r w:rsidR="00F32292" w:rsidRPr="00373F50">
        <w:t xml:space="preserve">снижением доходов </w:t>
      </w:r>
      <w:r w:rsidR="004E7C4E" w:rsidRPr="00373F50">
        <w:t xml:space="preserve">от реализации имущества и </w:t>
      </w:r>
      <w:r w:rsidR="00F32292" w:rsidRPr="00373F50">
        <w:t>аренде земельных участков, имущества в связи с выкупом в собственность.</w:t>
      </w:r>
      <w:r w:rsidR="004E7C4E" w:rsidRPr="00373F50">
        <w:t xml:space="preserve"> </w:t>
      </w:r>
      <w:r w:rsidR="00DE7892" w:rsidRPr="00373F50">
        <w:t>Также отмечено снижение безвозмездных поступлений из областного бюджета в бюджет городского округа Вичуга</w:t>
      </w:r>
      <w:r w:rsidR="00DE7892">
        <w:t xml:space="preserve"> </w:t>
      </w:r>
      <w:r w:rsidR="00DE7892" w:rsidRPr="00C82318">
        <w:t>(причина в пояснительной записке не указана)</w:t>
      </w:r>
      <w:r w:rsidR="00DE7892" w:rsidRPr="00373F50">
        <w:t xml:space="preserve">. </w:t>
      </w:r>
      <w:r w:rsidR="000B2F08" w:rsidRPr="00373F50">
        <w:t xml:space="preserve"> </w:t>
      </w:r>
      <w:r w:rsidR="00811A37" w:rsidRPr="00373F50">
        <w:t>Следует отметить, что отклонения произошли как в сторону уменьшения роста доходов, так и в сторону их увеличения. Увеличение связано с возрастающими объемами уплаты</w:t>
      </w:r>
      <w:r w:rsidR="007225EA" w:rsidRPr="00373F50">
        <w:t xml:space="preserve"> налогов: </w:t>
      </w:r>
      <w:r w:rsidR="0035539D" w:rsidRPr="00373F50">
        <w:t>налога на доходы физических лиц</w:t>
      </w:r>
      <w:r w:rsidR="00172719" w:rsidRPr="00373F50">
        <w:t>, налога на совокупный доход, налога на имущество, госпошлины, платежей за пользование природными ресурсами</w:t>
      </w:r>
      <w:r w:rsidR="0035539D" w:rsidRPr="00373F50">
        <w:t>, доходов от оказания платных услуг (работ) и компенсации затрат государства, штрафов, санкций, возмещений ущерба</w:t>
      </w:r>
      <w:r w:rsidR="00172719" w:rsidRPr="00373F50">
        <w:t xml:space="preserve">. </w:t>
      </w:r>
      <w:r w:rsidR="00340BA7" w:rsidRPr="00373F50">
        <w:t xml:space="preserve"> Доля налоговых доходов в общем объеме доходов составит: в 201</w:t>
      </w:r>
      <w:r w:rsidR="00E64B6C" w:rsidRPr="00373F50">
        <w:t>5</w:t>
      </w:r>
      <w:r w:rsidR="00340BA7" w:rsidRPr="00373F50">
        <w:t xml:space="preserve"> году – </w:t>
      </w:r>
      <w:r w:rsidR="00E64B6C" w:rsidRPr="00373F50">
        <w:t>21,6</w:t>
      </w:r>
      <w:r w:rsidR="00340BA7" w:rsidRPr="00373F50">
        <w:t>%, в 20</w:t>
      </w:r>
      <w:r w:rsidR="00172719" w:rsidRPr="00373F50">
        <w:t>1</w:t>
      </w:r>
      <w:r w:rsidR="00E64B6C" w:rsidRPr="00373F50">
        <w:t>6</w:t>
      </w:r>
      <w:r w:rsidR="00340BA7" w:rsidRPr="00373F50">
        <w:t xml:space="preserve"> году – </w:t>
      </w:r>
      <w:r w:rsidR="00E64B6C" w:rsidRPr="00373F50">
        <w:t>25,0</w:t>
      </w:r>
      <w:r w:rsidR="00340BA7" w:rsidRPr="00373F50">
        <w:t>%, в 201</w:t>
      </w:r>
      <w:r w:rsidR="00E64B6C" w:rsidRPr="00373F50">
        <w:t>7</w:t>
      </w:r>
      <w:r w:rsidR="00340BA7" w:rsidRPr="00373F50">
        <w:t xml:space="preserve"> году – </w:t>
      </w:r>
      <w:r w:rsidR="00E64B6C" w:rsidRPr="00373F50">
        <w:t>25,3</w:t>
      </w:r>
      <w:r w:rsidR="00340BA7" w:rsidRPr="00373F50">
        <w:t>%.</w:t>
      </w:r>
      <w:r w:rsidR="007143DC" w:rsidRPr="00373F50">
        <w:t xml:space="preserve"> </w:t>
      </w:r>
      <w:r w:rsidR="003F459F" w:rsidRPr="00373F50">
        <w:t xml:space="preserve"> Неналоговые доходы  в общем объеме доходов </w:t>
      </w:r>
      <w:r w:rsidR="001C6BAF" w:rsidRPr="00373F50">
        <w:t xml:space="preserve">составят: в 2015 году – 5,6%, в 2016 году – 3,6%, в 2017 году – 3,3%. </w:t>
      </w:r>
      <w:r w:rsidR="0098007B" w:rsidRPr="00373F50">
        <w:t>Основным источником пополнения бюджета являются безвозмездные поступления, доля которых в общем объеме доходов составит: в 201</w:t>
      </w:r>
      <w:r w:rsidR="0022590D" w:rsidRPr="00373F50">
        <w:t>5</w:t>
      </w:r>
      <w:r w:rsidR="0098007B" w:rsidRPr="00373F50">
        <w:t xml:space="preserve"> году – </w:t>
      </w:r>
      <w:r w:rsidR="0022590D" w:rsidRPr="00373F50">
        <w:t>72,8</w:t>
      </w:r>
      <w:r w:rsidR="0098007B" w:rsidRPr="00373F50">
        <w:t>%, в 201</w:t>
      </w:r>
      <w:r w:rsidR="0022590D" w:rsidRPr="00373F50">
        <w:t>6</w:t>
      </w:r>
      <w:r w:rsidR="0098007B" w:rsidRPr="00373F50">
        <w:t xml:space="preserve"> году – </w:t>
      </w:r>
      <w:r w:rsidR="0022590D" w:rsidRPr="00373F50">
        <w:t>71,4</w:t>
      </w:r>
      <w:r w:rsidR="0098007B" w:rsidRPr="00373F50">
        <w:t>%, в 201</w:t>
      </w:r>
      <w:r w:rsidR="0022590D" w:rsidRPr="00373F50">
        <w:t>7</w:t>
      </w:r>
      <w:r w:rsidR="0098007B" w:rsidRPr="00373F50">
        <w:t xml:space="preserve"> году </w:t>
      </w:r>
      <w:r w:rsidR="007063D1" w:rsidRPr="00373F50">
        <w:t>–</w:t>
      </w:r>
      <w:r w:rsidR="0098007B" w:rsidRPr="00373F50">
        <w:t xml:space="preserve"> </w:t>
      </w:r>
      <w:r w:rsidR="0022590D" w:rsidRPr="00373F50">
        <w:t>71,4</w:t>
      </w:r>
      <w:r w:rsidR="0098007B" w:rsidRPr="00373F50">
        <w:t xml:space="preserve">%. </w:t>
      </w:r>
    </w:p>
    <w:p w:rsidR="0098007B" w:rsidRPr="00373F50" w:rsidRDefault="00340BA7" w:rsidP="007143DC">
      <w:pPr>
        <w:jc w:val="both"/>
      </w:pPr>
      <w:r w:rsidRPr="00373F50">
        <w:tab/>
      </w:r>
      <w:r w:rsidRPr="00373F50">
        <w:rPr>
          <w:b/>
        </w:rPr>
        <w:t xml:space="preserve"> </w:t>
      </w:r>
      <w:r w:rsidR="00D31659" w:rsidRPr="00373F50">
        <w:rPr>
          <w:b/>
        </w:rPr>
        <w:t xml:space="preserve">Контрольно-счетная комиссия </w:t>
      </w:r>
      <w:r w:rsidRPr="00373F50">
        <w:rPr>
          <w:b/>
        </w:rPr>
        <w:t xml:space="preserve"> отме</w:t>
      </w:r>
      <w:r w:rsidR="00D31659" w:rsidRPr="00373F50">
        <w:rPr>
          <w:b/>
        </w:rPr>
        <w:t>чает</w:t>
      </w:r>
      <w:r w:rsidRPr="00373F50">
        <w:rPr>
          <w:b/>
        </w:rPr>
        <w:t xml:space="preserve"> существенное снижение доходов от продажи материальных и нематериальных активов. </w:t>
      </w:r>
      <w:r w:rsidRPr="00373F50">
        <w:t>В 201</w:t>
      </w:r>
      <w:r w:rsidR="00E5763A" w:rsidRPr="00373F50">
        <w:t>4</w:t>
      </w:r>
      <w:r w:rsidRPr="00373F50">
        <w:t xml:space="preserve"> году плановые показатели составляют </w:t>
      </w:r>
      <w:r w:rsidR="00E5763A" w:rsidRPr="00373F50">
        <w:t>31838,3</w:t>
      </w:r>
      <w:r w:rsidRPr="00373F50">
        <w:t xml:space="preserve"> тыс. рублей, в 201</w:t>
      </w:r>
      <w:r w:rsidR="00E5763A" w:rsidRPr="00373F50">
        <w:t>5</w:t>
      </w:r>
      <w:r w:rsidRPr="00373F50">
        <w:t xml:space="preserve"> году – </w:t>
      </w:r>
      <w:r w:rsidR="00E5763A" w:rsidRPr="00373F50">
        <w:t>17000,0</w:t>
      </w:r>
      <w:r w:rsidRPr="00373F50">
        <w:t xml:space="preserve"> тыс. рублей, </w:t>
      </w:r>
      <w:r w:rsidR="003D7CA5" w:rsidRPr="00373F50">
        <w:t xml:space="preserve">а </w:t>
      </w:r>
      <w:r w:rsidRPr="00373F50">
        <w:t>в 201</w:t>
      </w:r>
      <w:r w:rsidR="003D7CA5" w:rsidRPr="00373F50">
        <w:t xml:space="preserve">6-2017 </w:t>
      </w:r>
      <w:r w:rsidRPr="00373F50">
        <w:t>год</w:t>
      </w:r>
      <w:r w:rsidR="003D7CA5" w:rsidRPr="00373F50">
        <w:t xml:space="preserve">ах </w:t>
      </w:r>
      <w:r w:rsidR="003D7CA5" w:rsidRPr="00373F50">
        <w:lastRenderedPageBreak/>
        <w:t>лишь</w:t>
      </w:r>
      <w:r w:rsidRPr="00373F50">
        <w:t xml:space="preserve"> – </w:t>
      </w:r>
      <w:r w:rsidR="003D7CA5" w:rsidRPr="00373F50">
        <w:t>7000,0</w:t>
      </w:r>
      <w:r w:rsidRPr="00373F50">
        <w:t xml:space="preserve"> </w:t>
      </w:r>
      <w:r w:rsidR="003D7CA5" w:rsidRPr="00373F50">
        <w:t>и</w:t>
      </w:r>
      <w:r w:rsidRPr="00373F50">
        <w:t xml:space="preserve"> </w:t>
      </w:r>
      <w:r w:rsidR="003D7CA5" w:rsidRPr="00373F50">
        <w:t>6000,0</w:t>
      </w:r>
      <w:r w:rsidRPr="00373F50">
        <w:t xml:space="preserve"> тыс. рублей</w:t>
      </w:r>
      <w:r w:rsidR="003D7CA5" w:rsidRPr="00373F50">
        <w:t xml:space="preserve"> соответственно</w:t>
      </w:r>
      <w:r w:rsidRPr="00373F50">
        <w:t>.</w:t>
      </w:r>
      <w:r w:rsidR="001741FE" w:rsidRPr="00373F50">
        <w:rPr>
          <w:b/>
        </w:rPr>
        <w:t xml:space="preserve"> </w:t>
      </w:r>
      <w:r w:rsidR="007D0D40" w:rsidRPr="00373F50">
        <w:rPr>
          <w:b/>
        </w:rPr>
        <w:t xml:space="preserve">Также наблюдается снижение </w:t>
      </w:r>
      <w:r w:rsidR="001741FE" w:rsidRPr="00373F50">
        <w:rPr>
          <w:b/>
        </w:rPr>
        <w:t>доходов от использования имущества, находящегося в государственной и муниципальной собственности</w:t>
      </w:r>
      <w:r w:rsidR="00EF015D" w:rsidRPr="00373F50">
        <w:rPr>
          <w:b/>
        </w:rPr>
        <w:t xml:space="preserve"> в связи с выкупом земельных участков и имущества в собственность</w:t>
      </w:r>
      <w:r w:rsidR="00EF015D" w:rsidRPr="00373F50">
        <w:t>. Так плановые показатели  в 201</w:t>
      </w:r>
      <w:r w:rsidR="00224DC7" w:rsidRPr="00373F50">
        <w:t>4</w:t>
      </w:r>
      <w:r w:rsidR="00EF015D" w:rsidRPr="00373F50">
        <w:t xml:space="preserve"> году составили </w:t>
      </w:r>
      <w:r w:rsidR="00224DC7" w:rsidRPr="00373F50">
        <w:t>7691,9</w:t>
      </w:r>
      <w:r w:rsidR="00EF015D" w:rsidRPr="00373F50">
        <w:t xml:space="preserve"> тыс. рублей, в 201</w:t>
      </w:r>
      <w:r w:rsidR="00224DC7" w:rsidRPr="00373F50">
        <w:t>5</w:t>
      </w:r>
      <w:r w:rsidR="00EF015D" w:rsidRPr="00373F50">
        <w:t xml:space="preserve"> году – </w:t>
      </w:r>
      <w:r w:rsidR="00224DC7" w:rsidRPr="00373F50">
        <w:t>5800,0</w:t>
      </w:r>
      <w:r w:rsidR="00EF015D" w:rsidRPr="00373F50">
        <w:t xml:space="preserve"> тыс. рублей, в 201</w:t>
      </w:r>
      <w:r w:rsidR="00224DC7" w:rsidRPr="00373F50">
        <w:t>6</w:t>
      </w:r>
      <w:r w:rsidR="00EF015D" w:rsidRPr="00373F50">
        <w:t xml:space="preserve">  и 201</w:t>
      </w:r>
      <w:r w:rsidR="00224DC7" w:rsidRPr="00373F50">
        <w:t>7</w:t>
      </w:r>
      <w:r w:rsidR="00EF015D" w:rsidRPr="00373F50">
        <w:t xml:space="preserve"> году – </w:t>
      </w:r>
      <w:r w:rsidR="00224DC7" w:rsidRPr="00373F50">
        <w:t>5150,0</w:t>
      </w:r>
      <w:r w:rsidR="00EF015D" w:rsidRPr="00373F50">
        <w:t xml:space="preserve"> тыс. рублей соответственно.</w:t>
      </w:r>
    </w:p>
    <w:p w:rsidR="00B35A6B" w:rsidRPr="00373F50" w:rsidRDefault="00496B60" w:rsidP="00340BA7">
      <w:pPr>
        <w:jc w:val="both"/>
        <w:rPr>
          <w:b/>
        </w:rPr>
      </w:pPr>
      <w:r w:rsidRPr="00373F50">
        <w:tab/>
      </w:r>
    </w:p>
    <w:p w:rsidR="002B3B12" w:rsidRPr="00373F50" w:rsidRDefault="001B0631" w:rsidP="00B35A6B">
      <w:pPr>
        <w:ind w:firstLine="708"/>
        <w:jc w:val="both"/>
      </w:pPr>
      <w:r w:rsidRPr="00373F50">
        <w:t xml:space="preserve">Динамика основных показателей доходов </w:t>
      </w:r>
      <w:r w:rsidR="00F2460B" w:rsidRPr="00373F50">
        <w:t xml:space="preserve">местного бюджета отражена на </w:t>
      </w:r>
      <w:r w:rsidR="00595F3A">
        <w:t>Д</w:t>
      </w:r>
      <w:r w:rsidR="00F2460B" w:rsidRPr="00373F50">
        <w:t>иаграмме 2</w:t>
      </w:r>
      <w:r w:rsidR="00581832" w:rsidRPr="00373F50">
        <w:t>.</w:t>
      </w:r>
    </w:p>
    <w:p w:rsidR="00F2460B" w:rsidRPr="00595F3A" w:rsidRDefault="00F2460B" w:rsidP="002D0160">
      <w:pPr>
        <w:jc w:val="right"/>
      </w:pPr>
      <w:r w:rsidRPr="00595F3A">
        <w:t>Диаграмма 2</w:t>
      </w:r>
    </w:p>
    <w:p w:rsidR="00F2460B" w:rsidRPr="00DB7BDE" w:rsidRDefault="00F2460B" w:rsidP="00F2460B">
      <w:pPr>
        <w:jc w:val="center"/>
        <w:rPr>
          <w:b/>
        </w:rPr>
      </w:pPr>
      <w:r w:rsidRPr="00595F3A">
        <w:rPr>
          <w:b/>
        </w:rPr>
        <w:t>Динамика по налоговым, неналоговым доходам, безвозмездным поступлениям</w:t>
      </w:r>
    </w:p>
    <w:p w:rsidR="00F2460B" w:rsidRDefault="00F2460B" w:rsidP="007143DC">
      <w:pPr>
        <w:jc w:val="center"/>
        <w:rPr>
          <w:b/>
        </w:rPr>
      </w:pPr>
      <w:r w:rsidRPr="00DB7BDE">
        <w:rPr>
          <w:b/>
        </w:rPr>
        <w:t xml:space="preserve"> за период 2011-201</w:t>
      </w:r>
      <w:r w:rsidR="00C65CBF">
        <w:rPr>
          <w:b/>
        </w:rPr>
        <w:t>7</w:t>
      </w:r>
      <w:r w:rsidRPr="00DB7BDE">
        <w:rPr>
          <w:b/>
        </w:rPr>
        <w:t xml:space="preserve"> годов</w:t>
      </w:r>
      <w:r w:rsidR="00D36DE4" w:rsidRPr="00DB7BDE">
        <w:rPr>
          <w:b/>
        </w:rPr>
        <w:t xml:space="preserve"> (в млн. рублей)</w:t>
      </w:r>
    </w:p>
    <w:p w:rsidR="00D617AD" w:rsidRPr="007143DC" w:rsidRDefault="00D617AD" w:rsidP="007143DC">
      <w:pPr>
        <w:jc w:val="center"/>
        <w:rPr>
          <w:b/>
        </w:rPr>
      </w:pPr>
    </w:p>
    <w:p w:rsidR="00F2460B" w:rsidRDefault="00AD0936" w:rsidP="00581832">
      <w:pPr>
        <w:jc w:val="center"/>
      </w:pPr>
      <w:r>
        <w:rPr>
          <w:noProof/>
        </w:rPr>
        <w:drawing>
          <wp:inline distT="0" distB="0" distL="0" distR="0">
            <wp:extent cx="5619750" cy="2400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B12" w:rsidRDefault="002B3B12" w:rsidP="00581832">
      <w:pPr>
        <w:jc w:val="center"/>
      </w:pPr>
    </w:p>
    <w:p w:rsidR="001B0631" w:rsidRDefault="00D36DE4" w:rsidP="00581832">
      <w:pPr>
        <w:ind w:firstLine="708"/>
        <w:jc w:val="both"/>
      </w:pPr>
      <w:r w:rsidRPr="00595F3A">
        <w:t xml:space="preserve">Из </w:t>
      </w:r>
      <w:r w:rsidR="00595F3A" w:rsidRPr="00595F3A">
        <w:t>Д</w:t>
      </w:r>
      <w:r w:rsidRPr="00595F3A">
        <w:t>иаграммы 2 видно, что в прогнозируемом периоде наблюдается  устойчивое снижение поступлений неналоговых доходов в бюджет городского округа Вичуга</w:t>
      </w:r>
      <w:r w:rsidR="00581832" w:rsidRPr="00595F3A">
        <w:t>.</w:t>
      </w:r>
    </w:p>
    <w:p w:rsidR="002B3B12" w:rsidRDefault="002B3B12" w:rsidP="00581832">
      <w:pPr>
        <w:ind w:firstLine="708"/>
        <w:jc w:val="both"/>
      </w:pPr>
    </w:p>
    <w:p w:rsidR="00A97AD8" w:rsidRPr="009B7948" w:rsidRDefault="00851DDE" w:rsidP="00A97AD8">
      <w:pPr>
        <w:rPr>
          <w:b/>
        </w:rPr>
      </w:pPr>
      <w:r>
        <w:tab/>
      </w:r>
      <w:r w:rsidR="00A97AD8" w:rsidRPr="009B7948">
        <w:rPr>
          <w:b/>
        </w:rPr>
        <w:t>Основные выводы раздела:</w:t>
      </w:r>
    </w:p>
    <w:p w:rsidR="00A97AD8" w:rsidRDefault="00A97AD8" w:rsidP="00A97AD8">
      <w:pPr>
        <w:ind w:firstLine="709"/>
        <w:jc w:val="both"/>
      </w:pPr>
    </w:p>
    <w:p w:rsidR="00A97AD8" w:rsidRDefault="00A97AD8" w:rsidP="00A97AD8">
      <w:pPr>
        <w:numPr>
          <w:ilvl w:val="0"/>
          <w:numId w:val="11"/>
        </w:numPr>
        <w:jc w:val="both"/>
      </w:pPr>
      <w:r>
        <w:t>Доходность бюджета городского округа  в среднесрочном периоде прогнозируется снижением показателей доходов:</w:t>
      </w:r>
    </w:p>
    <w:p w:rsidR="00A97AD8" w:rsidRDefault="00A97AD8" w:rsidP="00A97AD8">
      <w:pPr>
        <w:ind w:left="709"/>
        <w:jc w:val="both"/>
      </w:pPr>
      <w:r>
        <w:t>2014 год – 505071,9 тыс. руб.</w:t>
      </w:r>
      <w:r w:rsidR="00C55ABF">
        <w:t>;</w:t>
      </w:r>
      <w:r>
        <w:t xml:space="preserve"> </w:t>
      </w:r>
    </w:p>
    <w:p w:rsidR="00A97AD8" w:rsidRDefault="00A97AD8" w:rsidP="00A97AD8">
      <w:pPr>
        <w:ind w:firstLine="709"/>
        <w:jc w:val="both"/>
      </w:pPr>
      <w:r>
        <w:t>2015 год – 446891,9 тыс. руб.;</w:t>
      </w:r>
    </w:p>
    <w:p w:rsidR="00A97AD8" w:rsidRDefault="00A97AD8" w:rsidP="00A97AD8">
      <w:pPr>
        <w:ind w:firstLine="709"/>
        <w:jc w:val="both"/>
      </w:pPr>
      <w:r>
        <w:t>2016 год – 423335,5 тыс. руб.;</w:t>
      </w:r>
    </w:p>
    <w:p w:rsidR="00A97AD8" w:rsidRDefault="00A97AD8" w:rsidP="00A97AD8">
      <w:pPr>
        <w:ind w:firstLine="709"/>
        <w:jc w:val="both"/>
      </w:pPr>
      <w:r>
        <w:t>2017 год – 421878,1 тыс. руб.</w:t>
      </w:r>
    </w:p>
    <w:p w:rsidR="00000C71" w:rsidRDefault="00000C71" w:rsidP="00A97AD8">
      <w:pPr>
        <w:ind w:firstLine="709"/>
        <w:jc w:val="both"/>
      </w:pPr>
    </w:p>
    <w:p w:rsidR="00A97AD8" w:rsidRDefault="00A97AD8" w:rsidP="00C55ABF">
      <w:pPr>
        <w:numPr>
          <w:ilvl w:val="0"/>
          <w:numId w:val="11"/>
        </w:numPr>
        <w:jc w:val="both"/>
      </w:pPr>
      <w:r>
        <w:t xml:space="preserve">Предполагается увеличение поступления налоговых доходов бюджета городского округа </w:t>
      </w:r>
      <w:r w:rsidR="00C55ABF">
        <w:t>Вичуга:</w:t>
      </w:r>
    </w:p>
    <w:p w:rsidR="00C55ABF" w:rsidRDefault="00C55ABF" w:rsidP="00C55ABF">
      <w:pPr>
        <w:ind w:left="709"/>
        <w:jc w:val="both"/>
      </w:pPr>
      <w:r>
        <w:t>2014 год – 8</w:t>
      </w:r>
      <w:r w:rsidR="000C3E29">
        <w:t>2228</w:t>
      </w:r>
      <w:r>
        <w:t>,</w:t>
      </w:r>
      <w:r w:rsidR="000C3E29">
        <w:t>7</w:t>
      </w:r>
      <w:r>
        <w:t xml:space="preserve"> </w:t>
      </w:r>
      <w:r w:rsidR="004339EE">
        <w:t>тыс</w:t>
      </w:r>
      <w:r>
        <w:t>. руб.;</w:t>
      </w:r>
    </w:p>
    <w:p w:rsidR="00A97AD8" w:rsidRDefault="00A97AD8" w:rsidP="00A97AD8">
      <w:pPr>
        <w:ind w:firstLine="709"/>
        <w:jc w:val="both"/>
      </w:pPr>
      <w:r>
        <w:t xml:space="preserve">2015 год – </w:t>
      </w:r>
      <w:r w:rsidR="00C55ABF">
        <w:t>96</w:t>
      </w:r>
      <w:r w:rsidR="000C3E29">
        <w:t>4</w:t>
      </w:r>
      <w:r w:rsidR="004339EE">
        <w:t>00</w:t>
      </w:r>
      <w:r w:rsidR="00C55ABF">
        <w:t>,0</w:t>
      </w:r>
      <w:r>
        <w:t xml:space="preserve"> </w:t>
      </w:r>
      <w:r w:rsidR="004339EE">
        <w:t>тыс.</w:t>
      </w:r>
      <w:r>
        <w:t xml:space="preserve"> руб.;</w:t>
      </w:r>
    </w:p>
    <w:p w:rsidR="00A97AD8" w:rsidRDefault="00A97AD8" w:rsidP="00A97AD8">
      <w:pPr>
        <w:ind w:firstLine="709"/>
        <w:jc w:val="both"/>
      </w:pPr>
      <w:r>
        <w:t xml:space="preserve">2016 год – </w:t>
      </w:r>
      <w:r w:rsidR="00C55ABF">
        <w:t>10</w:t>
      </w:r>
      <w:r w:rsidR="000C3E29">
        <w:t>5796</w:t>
      </w:r>
      <w:r w:rsidR="00C55ABF">
        <w:t>,</w:t>
      </w:r>
      <w:r w:rsidR="000C3E29">
        <w:t>7</w:t>
      </w:r>
      <w:r>
        <w:t xml:space="preserve"> </w:t>
      </w:r>
      <w:r w:rsidR="004339EE">
        <w:t>тыс</w:t>
      </w:r>
      <w:r>
        <w:t>. руб.;</w:t>
      </w:r>
    </w:p>
    <w:p w:rsidR="00A97AD8" w:rsidRDefault="00A97AD8" w:rsidP="00A97AD8">
      <w:pPr>
        <w:ind w:firstLine="709"/>
        <w:jc w:val="both"/>
      </w:pPr>
      <w:r>
        <w:t xml:space="preserve">2017 год – </w:t>
      </w:r>
      <w:r w:rsidR="006E5782">
        <w:t>106584,9</w:t>
      </w:r>
      <w:r>
        <w:t xml:space="preserve"> </w:t>
      </w:r>
      <w:r w:rsidR="004339EE">
        <w:t>тыс</w:t>
      </w:r>
      <w:r>
        <w:t>. руб.</w:t>
      </w:r>
    </w:p>
    <w:p w:rsidR="00000C71" w:rsidRDefault="00A97AD8" w:rsidP="001750D8">
      <w:pPr>
        <w:jc w:val="both"/>
      </w:pPr>
      <w:r>
        <w:t xml:space="preserve">           - Налог на доходы физических лиц составляет наибольший удельный вес в структуре налоговых доходов бюджета городского округа</w:t>
      </w:r>
      <w:r w:rsidR="00A750FC">
        <w:t>.</w:t>
      </w:r>
      <w:r>
        <w:t xml:space="preserve">       </w:t>
      </w:r>
    </w:p>
    <w:p w:rsidR="00A97AD8" w:rsidRDefault="00A97AD8" w:rsidP="00000C71">
      <w:pPr>
        <w:ind w:firstLine="708"/>
        <w:jc w:val="both"/>
      </w:pPr>
      <w:r>
        <w:t xml:space="preserve">   Норматив отчислений налога на доходы физических лиц в бюджет городского округа </w:t>
      </w:r>
      <w:r w:rsidR="00A750FC">
        <w:t>Вичуга</w:t>
      </w:r>
      <w:r>
        <w:t xml:space="preserve"> составляет 25%.</w:t>
      </w:r>
    </w:p>
    <w:p w:rsidR="003A6520" w:rsidRPr="001750D8" w:rsidRDefault="003A6520" w:rsidP="00000C71">
      <w:pPr>
        <w:ind w:firstLine="708"/>
        <w:jc w:val="both"/>
      </w:pPr>
    </w:p>
    <w:p w:rsidR="001750D8" w:rsidRDefault="00A97AD8" w:rsidP="00A97AD8">
      <w:pPr>
        <w:tabs>
          <w:tab w:val="left" w:pos="285"/>
        </w:tabs>
        <w:jc w:val="both"/>
        <w:rPr>
          <w:bCs/>
        </w:rPr>
      </w:pPr>
      <w:r w:rsidRPr="000F2FE0">
        <w:rPr>
          <w:b/>
        </w:rPr>
        <w:t xml:space="preserve">           3.</w:t>
      </w:r>
      <w:r>
        <w:rPr>
          <w:bCs/>
        </w:rPr>
        <w:t xml:space="preserve">   </w:t>
      </w:r>
      <w:r w:rsidR="001750D8">
        <w:rPr>
          <w:bCs/>
        </w:rPr>
        <w:t>Н</w:t>
      </w:r>
      <w:r>
        <w:rPr>
          <w:bCs/>
        </w:rPr>
        <w:t xml:space="preserve">еналоговые доходы планируются к поступлению </w:t>
      </w:r>
      <w:r w:rsidR="001750D8">
        <w:rPr>
          <w:bCs/>
        </w:rPr>
        <w:t>в бюджет городского округа Вичуга</w:t>
      </w:r>
      <w:r w:rsidR="001750D8" w:rsidRPr="001750D8">
        <w:t xml:space="preserve"> </w:t>
      </w:r>
      <w:r w:rsidR="001750D8" w:rsidRPr="001750D8">
        <w:rPr>
          <w:bCs/>
        </w:rPr>
        <w:t>со снижением</w:t>
      </w:r>
      <w:r w:rsidR="001750D8">
        <w:rPr>
          <w:bCs/>
        </w:rPr>
        <w:t>:</w:t>
      </w:r>
    </w:p>
    <w:p w:rsidR="001750D8" w:rsidRDefault="001750D8" w:rsidP="00A97AD8">
      <w:pPr>
        <w:tabs>
          <w:tab w:val="left" w:pos="285"/>
        </w:tabs>
        <w:jc w:val="both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 xml:space="preserve">2014 год – </w:t>
      </w:r>
      <w:r w:rsidR="000C3E29">
        <w:rPr>
          <w:bCs/>
        </w:rPr>
        <w:t>42194,1</w:t>
      </w:r>
      <w:r>
        <w:rPr>
          <w:bCs/>
        </w:rPr>
        <w:t>0 тыс. руб.;</w:t>
      </w:r>
    </w:p>
    <w:p w:rsidR="001750D8" w:rsidRDefault="001750D8" w:rsidP="00A97AD8">
      <w:pPr>
        <w:tabs>
          <w:tab w:val="left" w:pos="285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2015 год – 25</w:t>
      </w:r>
      <w:r w:rsidR="000C3E29">
        <w:rPr>
          <w:bCs/>
        </w:rPr>
        <w:t>329,0</w:t>
      </w:r>
      <w:r>
        <w:rPr>
          <w:bCs/>
        </w:rPr>
        <w:t>0 тыс. руб.;</w:t>
      </w:r>
    </w:p>
    <w:p w:rsidR="001750D8" w:rsidRDefault="001750D8" w:rsidP="00A97AD8">
      <w:pPr>
        <w:tabs>
          <w:tab w:val="left" w:pos="285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2016 год – 15</w:t>
      </w:r>
      <w:r w:rsidR="006E5782">
        <w:rPr>
          <w:bCs/>
        </w:rPr>
        <w:t>112</w:t>
      </w:r>
      <w:r>
        <w:rPr>
          <w:bCs/>
        </w:rPr>
        <w:t>,</w:t>
      </w:r>
      <w:r w:rsidR="006E5782">
        <w:rPr>
          <w:bCs/>
        </w:rPr>
        <w:t>4</w:t>
      </w:r>
      <w:r>
        <w:rPr>
          <w:bCs/>
        </w:rPr>
        <w:t xml:space="preserve"> тыс. руб.;</w:t>
      </w:r>
    </w:p>
    <w:p w:rsidR="001750D8" w:rsidRDefault="001750D8" w:rsidP="00A97AD8">
      <w:pPr>
        <w:tabs>
          <w:tab w:val="left" w:pos="285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2017 год – </w:t>
      </w:r>
      <w:r w:rsidR="006E5782">
        <w:rPr>
          <w:bCs/>
        </w:rPr>
        <w:t>14208,5</w:t>
      </w:r>
      <w:r>
        <w:rPr>
          <w:bCs/>
        </w:rPr>
        <w:t xml:space="preserve"> тыс. руб.</w:t>
      </w:r>
    </w:p>
    <w:p w:rsidR="00A97AD8" w:rsidRDefault="00A97AD8" w:rsidP="00A97AD8">
      <w:pPr>
        <w:jc w:val="both"/>
      </w:pPr>
      <w:r>
        <w:t xml:space="preserve">         Основную долю поступлений неналоговых доходов бюджета городского округа на планируемый трехлетний период будут составлять:</w:t>
      </w:r>
    </w:p>
    <w:p w:rsidR="00A97AD8" w:rsidRDefault="00A97AD8" w:rsidP="00A97AD8">
      <w:pPr>
        <w:jc w:val="both"/>
      </w:pPr>
      <w:r>
        <w:t xml:space="preserve">         - Доходы от использования имущества, находящегося в государственной и муниципальной собственности;</w:t>
      </w:r>
    </w:p>
    <w:p w:rsidR="00A97AD8" w:rsidRDefault="00A97AD8" w:rsidP="00A97AD8">
      <w:pPr>
        <w:jc w:val="both"/>
      </w:pPr>
      <w:r>
        <w:t xml:space="preserve">         - Доходы от продажи материальных и нематериальных активов.</w:t>
      </w:r>
    </w:p>
    <w:p w:rsidR="00000C71" w:rsidRDefault="00000C71" w:rsidP="00A97AD8">
      <w:pPr>
        <w:jc w:val="both"/>
      </w:pPr>
    </w:p>
    <w:p w:rsidR="00A97AD8" w:rsidRPr="00CB025A" w:rsidRDefault="00A97AD8" w:rsidP="00CB025A">
      <w:pPr>
        <w:jc w:val="both"/>
      </w:pPr>
      <w:r w:rsidRPr="000F2FE0">
        <w:rPr>
          <w:b/>
        </w:rPr>
        <w:t xml:space="preserve">         </w:t>
      </w:r>
      <w:r w:rsidR="004E5FBF">
        <w:rPr>
          <w:b/>
        </w:rPr>
        <w:tab/>
      </w:r>
      <w:r w:rsidRPr="000F2FE0">
        <w:rPr>
          <w:b/>
        </w:rPr>
        <w:t>4.</w:t>
      </w:r>
      <w:r>
        <w:t xml:space="preserve"> </w:t>
      </w:r>
      <w:r w:rsidR="00CB025A" w:rsidRPr="00373F50">
        <w:t>Основным источником пополнения бюджета являются безвозмездные поступления, доля которых в общем объеме доходов составит: в 2015 году – 72,8%, в 2016 году – 71,4%, в 2017 году – 71,4%.</w:t>
      </w:r>
    </w:p>
    <w:p w:rsidR="00A97AD8" w:rsidRDefault="00A97AD8" w:rsidP="00A97AD8">
      <w:pPr>
        <w:tabs>
          <w:tab w:val="left" w:pos="285"/>
        </w:tabs>
        <w:ind w:firstLine="708"/>
        <w:jc w:val="both"/>
        <w:rPr>
          <w:bCs/>
        </w:rPr>
      </w:pPr>
      <w:r>
        <w:rPr>
          <w:bCs/>
        </w:rPr>
        <w:t xml:space="preserve">Прогноз безвозмездных поступлений из областного бюджета на 2015-2017 годы </w:t>
      </w:r>
      <w:r w:rsidR="00CB025A">
        <w:rPr>
          <w:bCs/>
        </w:rPr>
        <w:t>предусмотрен в сумме на 2015 год – 325162,5 тыс. руб., на 2016 год – 302426,4 тыс. руб., на 2017 год – 301084,7 тыс. руб.</w:t>
      </w:r>
      <w:r w:rsidR="00AE193F">
        <w:rPr>
          <w:bCs/>
        </w:rPr>
        <w:t xml:space="preserve"> Снижение безвозмездных поступлений происходит за счет сокращения субсидии бюджетам субъектов РФ и  муниципальных образований (межбюджетные субсидии).</w:t>
      </w:r>
      <w:r>
        <w:rPr>
          <w:bCs/>
        </w:rPr>
        <w:t xml:space="preserve"> </w:t>
      </w:r>
    </w:p>
    <w:p w:rsidR="003A6520" w:rsidRDefault="003A6520" w:rsidP="00A97AD8">
      <w:pPr>
        <w:tabs>
          <w:tab w:val="left" w:pos="285"/>
        </w:tabs>
        <w:ind w:firstLine="708"/>
        <w:jc w:val="both"/>
        <w:rPr>
          <w:bCs/>
        </w:rPr>
      </w:pPr>
    </w:p>
    <w:p w:rsidR="00FD11FE" w:rsidRPr="00FD11FE" w:rsidRDefault="00FD11FE" w:rsidP="00FD11FE">
      <w:pPr>
        <w:jc w:val="both"/>
      </w:pPr>
      <w:r>
        <w:rPr>
          <w:bCs/>
        </w:rPr>
        <w:tab/>
      </w:r>
      <w:r w:rsidRPr="00FD11FE">
        <w:rPr>
          <w:b/>
          <w:bCs/>
        </w:rPr>
        <w:t>5</w:t>
      </w:r>
      <w:r>
        <w:rPr>
          <w:bCs/>
        </w:rPr>
        <w:t xml:space="preserve">. </w:t>
      </w:r>
      <w:r w:rsidRPr="00FD11FE">
        <w:t>В условиях, когда расходы бюджета существенно превышают его доходы, особое внимание следует уделить сокращению задолженности и недоимки по платежам в местный бюджет, что требует эффективной реализации контрольных функций главными администраторами доходов местного бюджета. По мнению Контрольно-счетной комиссии, действенность вышеназванной задачи обуславливается наличием в расчетах прогнозируемых доходных источников местного бюджета конкретных сумм дополнительных доходов от возмещения задолженности недоимки. Однако, в представленном проекте бюджета, поступление недоимки прошлых лет учтено только при расчете поступления налога на доходы физических лиц.</w:t>
      </w:r>
    </w:p>
    <w:p w:rsidR="00AE193F" w:rsidRDefault="00AE193F" w:rsidP="00FD11FE">
      <w:pPr>
        <w:rPr>
          <w:bCs/>
        </w:rPr>
      </w:pPr>
    </w:p>
    <w:p w:rsidR="00AE193F" w:rsidRDefault="00AE193F" w:rsidP="00B44BFD">
      <w:pPr>
        <w:jc w:val="center"/>
        <w:rPr>
          <w:bCs/>
        </w:rPr>
      </w:pPr>
    </w:p>
    <w:p w:rsidR="00B44BFD" w:rsidRDefault="008273CA" w:rsidP="00B44BFD">
      <w:pPr>
        <w:jc w:val="center"/>
        <w:rPr>
          <w:rFonts w:eastAsia="Calibri"/>
          <w:b/>
          <w:lang w:eastAsia="en-US"/>
        </w:rPr>
      </w:pPr>
      <w:r w:rsidRPr="00740DCD">
        <w:rPr>
          <w:rFonts w:eastAsia="Calibri"/>
          <w:b/>
          <w:lang w:eastAsia="en-US"/>
        </w:rPr>
        <w:t xml:space="preserve">Анализ расходов местного бюджета </w:t>
      </w:r>
    </w:p>
    <w:p w:rsidR="008273CA" w:rsidRDefault="008273CA" w:rsidP="00B44BFD">
      <w:pPr>
        <w:jc w:val="center"/>
        <w:rPr>
          <w:rFonts w:eastAsia="Calibri"/>
          <w:b/>
          <w:lang w:eastAsia="en-US"/>
        </w:rPr>
      </w:pPr>
      <w:r w:rsidRPr="00740DCD">
        <w:rPr>
          <w:rFonts w:eastAsia="Calibri"/>
          <w:b/>
          <w:lang w:eastAsia="en-US"/>
        </w:rPr>
        <w:t>на 2015 год и плановый период 201</w:t>
      </w:r>
      <w:r w:rsidR="004E2A9A" w:rsidRPr="00740DCD">
        <w:rPr>
          <w:rFonts w:eastAsia="Calibri"/>
          <w:b/>
          <w:lang w:eastAsia="en-US"/>
        </w:rPr>
        <w:t>6</w:t>
      </w:r>
      <w:r w:rsidRPr="00740DCD">
        <w:rPr>
          <w:rFonts w:eastAsia="Calibri"/>
          <w:b/>
          <w:lang w:eastAsia="en-US"/>
        </w:rPr>
        <w:t>-201</w:t>
      </w:r>
      <w:r w:rsidR="004E2A9A" w:rsidRPr="00740DCD">
        <w:rPr>
          <w:rFonts w:eastAsia="Calibri"/>
          <w:b/>
          <w:lang w:eastAsia="en-US"/>
        </w:rPr>
        <w:t>7</w:t>
      </w:r>
      <w:r w:rsidRPr="00740DCD">
        <w:rPr>
          <w:rFonts w:eastAsia="Calibri"/>
          <w:b/>
          <w:lang w:eastAsia="en-US"/>
        </w:rPr>
        <w:t xml:space="preserve"> годы</w:t>
      </w:r>
      <w:r w:rsidRPr="00A03165">
        <w:rPr>
          <w:rFonts w:eastAsia="Calibri"/>
          <w:b/>
          <w:lang w:eastAsia="en-US"/>
        </w:rPr>
        <w:t xml:space="preserve"> </w:t>
      </w:r>
    </w:p>
    <w:p w:rsidR="00B44BFD" w:rsidRPr="00A03165" w:rsidRDefault="00B44BFD" w:rsidP="00B44BFD">
      <w:pPr>
        <w:jc w:val="center"/>
        <w:rPr>
          <w:rFonts w:eastAsia="Calibri"/>
          <w:b/>
          <w:lang w:eastAsia="en-US"/>
        </w:rPr>
      </w:pPr>
    </w:p>
    <w:p w:rsidR="008273CA" w:rsidRDefault="008273CA" w:rsidP="008273CA">
      <w:pPr>
        <w:ind w:firstLine="708"/>
        <w:jc w:val="both"/>
        <w:rPr>
          <w:rFonts w:eastAsia="Calibri"/>
          <w:lang w:eastAsia="en-US"/>
        </w:rPr>
      </w:pPr>
      <w:r w:rsidRPr="003E339A">
        <w:rPr>
          <w:rFonts w:eastAsia="Calibri"/>
          <w:lang w:eastAsia="en-US"/>
        </w:rPr>
        <w:t>Расходы бюджета городского округа Вичуга на 201</w:t>
      </w:r>
      <w:r>
        <w:rPr>
          <w:rFonts w:eastAsia="Calibri"/>
          <w:lang w:eastAsia="en-US"/>
        </w:rPr>
        <w:t>5</w:t>
      </w:r>
      <w:r w:rsidRPr="003E339A">
        <w:rPr>
          <w:rFonts w:eastAsia="Calibri"/>
          <w:lang w:eastAsia="en-US"/>
        </w:rPr>
        <w:t xml:space="preserve"> год и на плановый период 201</w:t>
      </w:r>
      <w:r>
        <w:rPr>
          <w:rFonts w:eastAsia="Calibri"/>
          <w:lang w:eastAsia="en-US"/>
        </w:rPr>
        <w:t>6</w:t>
      </w:r>
      <w:r w:rsidRPr="003E339A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7</w:t>
      </w:r>
      <w:r w:rsidRPr="003E339A">
        <w:rPr>
          <w:rFonts w:eastAsia="Calibri"/>
          <w:lang w:eastAsia="en-US"/>
        </w:rPr>
        <w:t xml:space="preserve"> годов, согласно статьи 1  «Основные характеристики бюджета городского округа Вичуга на 201</w:t>
      </w:r>
      <w:r>
        <w:rPr>
          <w:rFonts w:eastAsia="Calibri"/>
          <w:lang w:eastAsia="en-US"/>
        </w:rPr>
        <w:t>5</w:t>
      </w:r>
      <w:r w:rsidRPr="003E339A">
        <w:rPr>
          <w:rFonts w:eastAsia="Calibri"/>
          <w:lang w:eastAsia="en-US"/>
        </w:rPr>
        <w:t xml:space="preserve"> год и на плановый период 201</w:t>
      </w:r>
      <w:r>
        <w:rPr>
          <w:rFonts w:eastAsia="Calibri"/>
          <w:lang w:eastAsia="en-US"/>
        </w:rPr>
        <w:t>6</w:t>
      </w:r>
      <w:r w:rsidRPr="003E339A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7</w:t>
      </w:r>
      <w:r w:rsidRPr="003E339A">
        <w:rPr>
          <w:rFonts w:eastAsia="Calibri"/>
          <w:lang w:eastAsia="en-US"/>
        </w:rPr>
        <w:t xml:space="preserve"> годов» проекта бюджета составили:</w:t>
      </w:r>
    </w:p>
    <w:p w:rsidR="008273CA" w:rsidRPr="003E339A" w:rsidRDefault="008273CA" w:rsidP="008273C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3E339A">
        <w:rPr>
          <w:rFonts w:eastAsia="Calibri"/>
          <w:lang w:eastAsia="en-US"/>
        </w:rPr>
        <w:t>- на 201</w:t>
      </w:r>
      <w:r>
        <w:rPr>
          <w:rFonts w:eastAsia="Calibri"/>
          <w:lang w:eastAsia="en-US"/>
        </w:rPr>
        <w:t>5</w:t>
      </w:r>
      <w:r w:rsidRPr="003E339A">
        <w:rPr>
          <w:rFonts w:eastAsia="Calibri"/>
          <w:lang w:eastAsia="en-US"/>
        </w:rPr>
        <w:t xml:space="preserve"> год – </w:t>
      </w:r>
      <w:r>
        <w:rPr>
          <w:rFonts w:eastAsia="Calibri"/>
          <w:lang w:eastAsia="en-US"/>
        </w:rPr>
        <w:t xml:space="preserve">459064,6 тыс. </w:t>
      </w:r>
      <w:r w:rsidRPr="003E339A">
        <w:rPr>
          <w:rFonts w:eastAsia="Calibri"/>
          <w:lang w:eastAsia="en-US"/>
        </w:rPr>
        <w:t>руб.;</w:t>
      </w:r>
    </w:p>
    <w:p w:rsidR="008273CA" w:rsidRPr="003E339A" w:rsidRDefault="008273CA" w:rsidP="008273C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3E339A">
        <w:rPr>
          <w:rFonts w:eastAsia="Calibri"/>
          <w:lang w:eastAsia="en-US"/>
        </w:rPr>
        <w:t>- на 201</w:t>
      </w:r>
      <w:r>
        <w:rPr>
          <w:rFonts w:eastAsia="Calibri"/>
          <w:lang w:eastAsia="en-US"/>
        </w:rPr>
        <w:t>6</w:t>
      </w:r>
      <w:r w:rsidRPr="003E339A">
        <w:rPr>
          <w:rFonts w:eastAsia="Calibri"/>
          <w:lang w:eastAsia="en-US"/>
        </w:rPr>
        <w:t xml:space="preserve"> год – </w:t>
      </w:r>
      <w:r>
        <w:rPr>
          <w:rFonts w:eastAsia="Calibri"/>
          <w:lang w:eastAsia="en-US"/>
        </w:rPr>
        <w:t>435426,2 тыс.</w:t>
      </w:r>
      <w:r w:rsidRPr="003E339A">
        <w:rPr>
          <w:rFonts w:eastAsia="Calibri"/>
          <w:lang w:eastAsia="en-US"/>
        </w:rPr>
        <w:t xml:space="preserve"> руб.;</w:t>
      </w:r>
    </w:p>
    <w:p w:rsidR="008273CA" w:rsidRPr="003E339A" w:rsidRDefault="008273CA" w:rsidP="008273C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3E339A">
        <w:rPr>
          <w:rFonts w:eastAsia="Calibri"/>
          <w:lang w:eastAsia="en-US"/>
        </w:rPr>
        <w:t>- на 201</w:t>
      </w:r>
      <w:r>
        <w:rPr>
          <w:rFonts w:eastAsia="Calibri"/>
          <w:lang w:eastAsia="en-US"/>
        </w:rPr>
        <w:t>7</w:t>
      </w:r>
      <w:r w:rsidRPr="003E339A">
        <w:rPr>
          <w:rFonts w:eastAsia="Calibri"/>
          <w:lang w:eastAsia="en-US"/>
        </w:rPr>
        <w:t xml:space="preserve"> год – </w:t>
      </w:r>
      <w:r>
        <w:rPr>
          <w:rFonts w:eastAsia="Calibri"/>
          <w:lang w:eastAsia="en-US"/>
        </w:rPr>
        <w:t xml:space="preserve">433957,4 тыс. </w:t>
      </w:r>
      <w:r w:rsidRPr="003E339A">
        <w:rPr>
          <w:rFonts w:eastAsia="Calibri"/>
          <w:lang w:eastAsia="en-US"/>
        </w:rPr>
        <w:t>руб.</w:t>
      </w:r>
    </w:p>
    <w:p w:rsidR="008273CA" w:rsidRPr="003E339A" w:rsidRDefault="008273CA" w:rsidP="008273CA">
      <w:pPr>
        <w:ind w:firstLine="708"/>
        <w:jc w:val="both"/>
        <w:rPr>
          <w:rFonts w:eastAsia="Calibri"/>
          <w:lang w:eastAsia="en-US"/>
        </w:rPr>
      </w:pPr>
      <w:r w:rsidRPr="003E339A">
        <w:rPr>
          <w:rFonts w:eastAsia="Calibri"/>
          <w:lang w:eastAsia="en-US"/>
        </w:rPr>
        <w:t>По сравнению с основными характеристиками бюджета на 201</w:t>
      </w:r>
      <w:r>
        <w:rPr>
          <w:rFonts w:eastAsia="Calibri"/>
          <w:lang w:eastAsia="en-US"/>
        </w:rPr>
        <w:t>5</w:t>
      </w:r>
      <w:r w:rsidRPr="003E339A">
        <w:rPr>
          <w:rFonts w:eastAsia="Calibri"/>
          <w:lang w:eastAsia="en-US"/>
        </w:rPr>
        <w:t xml:space="preserve"> и 201</w:t>
      </w:r>
      <w:r>
        <w:rPr>
          <w:rFonts w:eastAsia="Calibri"/>
          <w:lang w:eastAsia="en-US"/>
        </w:rPr>
        <w:t>6</w:t>
      </w:r>
      <w:r w:rsidRPr="003E339A">
        <w:rPr>
          <w:rFonts w:eastAsia="Calibri"/>
          <w:lang w:eastAsia="en-US"/>
        </w:rPr>
        <w:t xml:space="preserve"> год, утвержденными решением городской Думы городского округа Вичуга от </w:t>
      </w:r>
      <w:r>
        <w:rPr>
          <w:rFonts w:eastAsia="Calibri"/>
          <w:lang w:eastAsia="en-US"/>
        </w:rPr>
        <w:t>19</w:t>
      </w:r>
      <w:r w:rsidRPr="003E339A">
        <w:rPr>
          <w:rFonts w:eastAsia="Calibri"/>
          <w:lang w:eastAsia="en-US"/>
        </w:rPr>
        <w:t>.12.201</w:t>
      </w:r>
      <w:r>
        <w:rPr>
          <w:rFonts w:eastAsia="Calibri"/>
          <w:lang w:eastAsia="en-US"/>
        </w:rPr>
        <w:t>3</w:t>
      </w:r>
      <w:r w:rsidRPr="003E339A">
        <w:rPr>
          <w:rFonts w:eastAsia="Calibri"/>
          <w:lang w:eastAsia="en-US"/>
        </w:rPr>
        <w:t xml:space="preserve"> г. № 11</w:t>
      </w:r>
      <w:r>
        <w:rPr>
          <w:rFonts w:eastAsia="Calibri"/>
          <w:lang w:eastAsia="en-US"/>
        </w:rPr>
        <w:t>5</w:t>
      </w:r>
      <w:r w:rsidRPr="003E339A">
        <w:rPr>
          <w:rFonts w:eastAsia="Calibri"/>
          <w:lang w:eastAsia="en-US"/>
        </w:rPr>
        <w:t xml:space="preserve"> «О бюджете </w:t>
      </w:r>
      <w:r>
        <w:rPr>
          <w:rFonts w:eastAsia="Calibri"/>
          <w:lang w:eastAsia="en-US"/>
        </w:rPr>
        <w:t>городского округа Вичуга на 2014 год и на плановый период 2015 и 2016</w:t>
      </w:r>
      <w:r w:rsidRPr="003E339A">
        <w:rPr>
          <w:rFonts w:eastAsia="Calibri"/>
          <w:lang w:eastAsia="en-US"/>
        </w:rPr>
        <w:t xml:space="preserve"> годов» составляют:</w:t>
      </w:r>
    </w:p>
    <w:p w:rsidR="008273CA" w:rsidRPr="003E339A" w:rsidRDefault="008273CA" w:rsidP="008273CA">
      <w:pPr>
        <w:spacing w:line="276" w:lineRule="auto"/>
        <w:jc w:val="both"/>
        <w:rPr>
          <w:rFonts w:eastAsia="Calibri"/>
          <w:lang w:eastAsia="en-US"/>
        </w:rPr>
      </w:pPr>
      <w:r w:rsidRPr="003E339A">
        <w:rPr>
          <w:rFonts w:eastAsia="Calibri"/>
          <w:lang w:eastAsia="en-US"/>
        </w:rPr>
        <w:tab/>
        <w:t>- на 201</w:t>
      </w:r>
      <w:r>
        <w:rPr>
          <w:rFonts w:eastAsia="Calibri"/>
          <w:lang w:eastAsia="en-US"/>
        </w:rPr>
        <w:t>5</w:t>
      </w:r>
      <w:r w:rsidRPr="003E339A">
        <w:rPr>
          <w:rFonts w:eastAsia="Calibri"/>
          <w:lang w:eastAsia="en-US"/>
        </w:rPr>
        <w:t xml:space="preserve"> год – 4</w:t>
      </w:r>
      <w:r>
        <w:rPr>
          <w:rFonts w:eastAsia="Calibri"/>
          <w:lang w:eastAsia="en-US"/>
        </w:rPr>
        <w:t>25558,1</w:t>
      </w:r>
      <w:r w:rsidRPr="003E339A">
        <w:rPr>
          <w:rFonts w:eastAsia="Calibri"/>
          <w:lang w:eastAsia="en-US"/>
        </w:rPr>
        <w:t xml:space="preserve"> тыс. руб.;</w:t>
      </w:r>
    </w:p>
    <w:p w:rsidR="008273CA" w:rsidRPr="003E339A" w:rsidRDefault="008273CA" w:rsidP="008273CA">
      <w:pPr>
        <w:spacing w:line="276" w:lineRule="auto"/>
        <w:jc w:val="both"/>
        <w:rPr>
          <w:rFonts w:eastAsia="Calibri"/>
          <w:lang w:eastAsia="en-US"/>
        </w:rPr>
      </w:pPr>
      <w:r w:rsidRPr="003E339A">
        <w:rPr>
          <w:rFonts w:eastAsia="Calibri"/>
          <w:lang w:eastAsia="en-US"/>
        </w:rPr>
        <w:tab/>
        <w:t>-</w:t>
      </w:r>
      <w:r>
        <w:rPr>
          <w:rFonts w:eastAsia="Calibri"/>
          <w:lang w:eastAsia="en-US"/>
        </w:rPr>
        <w:t xml:space="preserve"> на 2016</w:t>
      </w:r>
      <w:r w:rsidRPr="003E339A">
        <w:rPr>
          <w:rFonts w:eastAsia="Calibri"/>
          <w:lang w:eastAsia="en-US"/>
        </w:rPr>
        <w:t xml:space="preserve"> год – </w:t>
      </w:r>
      <w:r>
        <w:rPr>
          <w:rFonts w:eastAsia="Calibri"/>
          <w:lang w:eastAsia="en-US"/>
        </w:rPr>
        <w:t>404792,8</w:t>
      </w:r>
      <w:r w:rsidRPr="003E339A">
        <w:rPr>
          <w:rFonts w:eastAsia="Calibri"/>
          <w:lang w:eastAsia="en-US"/>
        </w:rPr>
        <w:t xml:space="preserve"> тыс. руб.</w:t>
      </w:r>
    </w:p>
    <w:p w:rsidR="008273CA" w:rsidRDefault="008273CA" w:rsidP="008273CA">
      <w:pPr>
        <w:ind w:firstLine="708"/>
        <w:jc w:val="both"/>
        <w:rPr>
          <w:rFonts w:eastAsia="Calibri"/>
          <w:lang w:eastAsia="en-US"/>
        </w:rPr>
      </w:pPr>
      <w:r w:rsidRPr="003E339A">
        <w:rPr>
          <w:rFonts w:eastAsia="Calibri"/>
          <w:lang w:eastAsia="en-US"/>
        </w:rPr>
        <w:t>Расходы в 201</w:t>
      </w:r>
      <w:r>
        <w:rPr>
          <w:rFonts w:eastAsia="Calibri"/>
          <w:lang w:eastAsia="en-US"/>
        </w:rPr>
        <w:t>5</w:t>
      </w:r>
      <w:r w:rsidRPr="003E339A">
        <w:rPr>
          <w:rFonts w:eastAsia="Calibri"/>
          <w:lang w:eastAsia="en-US"/>
        </w:rPr>
        <w:t xml:space="preserve"> году увеличились по сравнению с утвержденными</w:t>
      </w:r>
      <w:r>
        <w:rPr>
          <w:rFonts w:eastAsia="Calibri"/>
          <w:lang w:eastAsia="en-US"/>
        </w:rPr>
        <w:t xml:space="preserve"> параметрами </w:t>
      </w:r>
      <w:r w:rsidRPr="003E339A">
        <w:rPr>
          <w:rFonts w:eastAsia="Calibri"/>
          <w:lang w:eastAsia="en-US"/>
        </w:rPr>
        <w:t xml:space="preserve"> бюджет</w:t>
      </w:r>
      <w:r>
        <w:rPr>
          <w:rFonts w:eastAsia="Calibri"/>
          <w:lang w:eastAsia="en-US"/>
        </w:rPr>
        <w:t>а</w:t>
      </w:r>
      <w:r w:rsidRPr="003E339A">
        <w:rPr>
          <w:rFonts w:eastAsia="Calibri"/>
          <w:lang w:eastAsia="en-US"/>
        </w:rPr>
        <w:t xml:space="preserve"> на 201</w:t>
      </w:r>
      <w:r>
        <w:rPr>
          <w:rFonts w:eastAsia="Calibri"/>
          <w:lang w:eastAsia="en-US"/>
        </w:rPr>
        <w:t>4</w:t>
      </w:r>
      <w:r w:rsidRPr="003E339A">
        <w:rPr>
          <w:rFonts w:eastAsia="Calibri"/>
          <w:lang w:eastAsia="en-US"/>
        </w:rPr>
        <w:t xml:space="preserve"> год и плановый период 201</w:t>
      </w:r>
      <w:r>
        <w:rPr>
          <w:rFonts w:eastAsia="Calibri"/>
          <w:lang w:eastAsia="en-US"/>
        </w:rPr>
        <w:t>5</w:t>
      </w:r>
      <w:r w:rsidRPr="003E339A">
        <w:rPr>
          <w:rFonts w:eastAsia="Calibri"/>
          <w:lang w:eastAsia="en-US"/>
        </w:rPr>
        <w:t xml:space="preserve"> и 201</w:t>
      </w:r>
      <w:r>
        <w:rPr>
          <w:rFonts w:eastAsia="Calibri"/>
          <w:lang w:eastAsia="en-US"/>
        </w:rPr>
        <w:t>6</w:t>
      </w:r>
      <w:r w:rsidRPr="003E339A">
        <w:rPr>
          <w:rFonts w:eastAsia="Calibri"/>
          <w:lang w:eastAsia="en-US"/>
        </w:rPr>
        <w:t xml:space="preserve"> годов на 33</w:t>
      </w:r>
      <w:r>
        <w:rPr>
          <w:rFonts w:eastAsia="Calibri"/>
          <w:lang w:eastAsia="en-US"/>
        </w:rPr>
        <w:t>506,5</w:t>
      </w:r>
      <w:r w:rsidRPr="003E339A">
        <w:rPr>
          <w:rFonts w:eastAsia="Calibri"/>
          <w:lang w:eastAsia="en-US"/>
        </w:rPr>
        <w:t xml:space="preserve"> тыс. руб. или </w:t>
      </w:r>
      <w:r w:rsidRPr="00674F02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>7,9</w:t>
      </w:r>
      <w:r w:rsidRPr="003E339A">
        <w:rPr>
          <w:rFonts w:eastAsia="Calibri"/>
          <w:lang w:eastAsia="en-US"/>
        </w:rPr>
        <w:t xml:space="preserve"> %, в 201</w:t>
      </w:r>
      <w:r>
        <w:rPr>
          <w:rFonts w:eastAsia="Calibri"/>
          <w:lang w:eastAsia="en-US"/>
        </w:rPr>
        <w:t>6</w:t>
      </w:r>
      <w:r w:rsidRPr="003E339A">
        <w:rPr>
          <w:rFonts w:eastAsia="Calibri"/>
          <w:lang w:eastAsia="en-US"/>
        </w:rPr>
        <w:t xml:space="preserve"> году</w:t>
      </w:r>
      <w:r>
        <w:rPr>
          <w:rFonts w:eastAsia="Calibri"/>
          <w:lang w:eastAsia="en-US"/>
        </w:rPr>
        <w:t xml:space="preserve"> 30633,4 тыс. руб. или на 7</w:t>
      </w:r>
      <w:r w:rsidRPr="00D50B7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6</w:t>
      </w:r>
      <w:r w:rsidRPr="00D50B7A">
        <w:rPr>
          <w:rFonts w:eastAsia="Calibri"/>
          <w:lang w:eastAsia="en-US"/>
        </w:rPr>
        <w:t xml:space="preserve"> %.</w:t>
      </w:r>
    </w:p>
    <w:p w:rsidR="008273CA" w:rsidRDefault="008273CA" w:rsidP="008273CA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2B745A" w:rsidRPr="003E339A" w:rsidRDefault="002B745A" w:rsidP="008273CA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8273CA" w:rsidRPr="003E339A" w:rsidRDefault="008273CA" w:rsidP="008273C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3E339A">
        <w:rPr>
          <w:rFonts w:eastAsia="Calibri"/>
          <w:lang w:eastAsia="en-US"/>
        </w:rPr>
        <w:lastRenderedPageBreak/>
        <w:t xml:space="preserve">Сравнительный анализ представлен на </w:t>
      </w:r>
      <w:r w:rsidR="00B44BFD">
        <w:rPr>
          <w:rFonts w:eastAsia="Calibri"/>
          <w:lang w:eastAsia="en-US"/>
        </w:rPr>
        <w:t>Д</w:t>
      </w:r>
      <w:r w:rsidRPr="003E339A">
        <w:rPr>
          <w:rFonts w:eastAsia="Calibri"/>
          <w:lang w:eastAsia="en-US"/>
        </w:rPr>
        <w:t>иаграмме</w:t>
      </w:r>
      <w:r>
        <w:rPr>
          <w:rFonts w:eastAsia="Calibri"/>
          <w:lang w:eastAsia="en-US"/>
        </w:rPr>
        <w:t xml:space="preserve"> 3</w:t>
      </w:r>
      <w:r w:rsidRPr="003E339A">
        <w:rPr>
          <w:rFonts w:eastAsia="Calibri"/>
          <w:lang w:eastAsia="en-US"/>
        </w:rPr>
        <w:t>:</w:t>
      </w:r>
    </w:p>
    <w:p w:rsidR="008273CA" w:rsidRPr="003E339A" w:rsidRDefault="008273CA" w:rsidP="008273CA">
      <w:pPr>
        <w:spacing w:line="276" w:lineRule="auto"/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Диаграмма 3</w:t>
      </w:r>
    </w:p>
    <w:p w:rsidR="008273CA" w:rsidRPr="003E339A" w:rsidRDefault="00AD0936" w:rsidP="008273CA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5076825" cy="30289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73CA" w:rsidRPr="008B3FF0" w:rsidRDefault="008273CA" w:rsidP="00D833DB">
      <w:pPr>
        <w:ind w:firstLine="708"/>
        <w:jc w:val="both"/>
        <w:rPr>
          <w:rFonts w:eastAsia="Calibri"/>
          <w:lang w:eastAsia="en-US"/>
        </w:rPr>
      </w:pPr>
      <w:r w:rsidRPr="00CB3C81">
        <w:rPr>
          <w:rFonts w:eastAsia="Calibri"/>
          <w:lang w:eastAsia="en-US"/>
        </w:rPr>
        <w:t xml:space="preserve">Как видно из </w:t>
      </w:r>
      <w:r w:rsidR="006B678C" w:rsidRPr="00CB3C81">
        <w:rPr>
          <w:rFonts w:eastAsia="Calibri"/>
          <w:lang w:eastAsia="en-US"/>
        </w:rPr>
        <w:t>Д</w:t>
      </w:r>
      <w:r w:rsidRPr="00CB3C81">
        <w:rPr>
          <w:rFonts w:eastAsia="Calibri"/>
          <w:lang w:eastAsia="en-US"/>
        </w:rPr>
        <w:t>иаграммы</w:t>
      </w:r>
      <w:r w:rsidR="006B678C" w:rsidRPr="00CB3C81">
        <w:rPr>
          <w:rFonts w:eastAsia="Calibri"/>
          <w:lang w:eastAsia="en-US"/>
        </w:rPr>
        <w:t xml:space="preserve"> 3</w:t>
      </w:r>
      <w:r w:rsidRPr="008021A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бюджета городского округа Вичуга на 2014 год и на плановый период 2015-2016 годов, что в </w:t>
      </w:r>
      <w:r w:rsidRPr="008021A2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6</w:t>
      </w:r>
      <w:r w:rsidRPr="008021A2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можно наблюдать</w:t>
      </w:r>
      <w:r w:rsidRPr="008021A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отрицательную</w:t>
      </w:r>
      <w:r w:rsidRPr="008021A2">
        <w:rPr>
          <w:rFonts w:eastAsia="Calibri"/>
          <w:lang w:eastAsia="en-US"/>
        </w:rPr>
        <w:t xml:space="preserve"> динамик</w:t>
      </w:r>
      <w:r>
        <w:rPr>
          <w:rFonts w:eastAsia="Calibri"/>
          <w:lang w:eastAsia="en-US"/>
        </w:rPr>
        <w:t>у,</w:t>
      </w:r>
      <w:r w:rsidRPr="008021A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снижение расходов местного бюджета </w:t>
      </w:r>
      <w:r w:rsidRPr="008021A2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>-4,9</w:t>
      </w:r>
      <w:r w:rsidRPr="008021A2">
        <w:rPr>
          <w:rFonts w:eastAsia="Calibri"/>
          <w:lang w:eastAsia="en-US"/>
        </w:rPr>
        <w:t>% к расходам 201</w:t>
      </w:r>
      <w:r>
        <w:rPr>
          <w:rFonts w:eastAsia="Calibri"/>
          <w:lang w:eastAsia="en-US"/>
        </w:rPr>
        <w:t>5</w:t>
      </w:r>
      <w:r w:rsidRPr="008021A2">
        <w:rPr>
          <w:rFonts w:eastAsia="Calibri"/>
          <w:lang w:eastAsia="en-US"/>
        </w:rPr>
        <w:t xml:space="preserve"> года</w:t>
      </w:r>
      <w:r>
        <w:rPr>
          <w:rFonts w:eastAsia="Calibri"/>
          <w:lang w:eastAsia="en-US"/>
        </w:rPr>
        <w:t>.</w:t>
      </w:r>
      <w:r w:rsidRPr="008021A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Проект бюджета городского округа Вичуга на 2015 год и на плановый период 2016-2017 годов показал, что в</w:t>
      </w:r>
      <w:r w:rsidRPr="008021A2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7</w:t>
      </w:r>
      <w:r w:rsidRPr="008021A2">
        <w:rPr>
          <w:rFonts w:eastAsia="Calibri"/>
          <w:lang w:eastAsia="en-US"/>
        </w:rPr>
        <w:t xml:space="preserve"> году по отношению к 201</w:t>
      </w:r>
      <w:r>
        <w:rPr>
          <w:rFonts w:eastAsia="Calibri"/>
          <w:lang w:eastAsia="en-US"/>
        </w:rPr>
        <w:t>6</w:t>
      </w:r>
      <w:r w:rsidRPr="008021A2">
        <w:rPr>
          <w:rFonts w:eastAsia="Calibri"/>
          <w:lang w:eastAsia="en-US"/>
        </w:rPr>
        <w:t xml:space="preserve"> и 201</w:t>
      </w:r>
      <w:r>
        <w:rPr>
          <w:rFonts w:eastAsia="Calibri"/>
          <w:lang w:eastAsia="en-US"/>
        </w:rPr>
        <w:t>5</w:t>
      </w:r>
      <w:r w:rsidRPr="008021A2">
        <w:rPr>
          <w:rFonts w:eastAsia="Calibri"/>
          <w:lang w:eastAsia="en-US"/>
        </w:rPr>
        <w:t xml:space="preserve"> году можно </w:t>
      </w:r>
      <w:r>
        <w:rPr>
          <w:rFonts w:eastAsia="Calibri"/>
          <w:lang w:eastAsia="en-US"/>
        </w:rPr>
        <w:t xml:space="preserve">так же </w:t>
      </w:r>
      <w:r w:rsidRPr="008021A2">
        <w:rPr>
          <w:rFonts w:eastAsia="Calibri"/>
          <w:lang w:eastAsia="en-US"/>
        </w:rPr>
        <w:t>наблюдать отрицательную динамику, снижение расходной части бюджета на -</w:t>
      </w:r>
      <w:r>
        <w:rPr>
          <w:rFonts w:eastAsia="Calibri"/>
          <w:lang w:eastAsia="en-US"/>
        </w:rPr>
        <w:t>0,3</w:t>
      </w:r>
      <w:r w:rsidRPr="008021A2">
        <w:rPr>
          <w:rFonts w:eastAsia="Calibri"/>
          <w:lang w:eastAsia="en-US"/>
        </w:rPr>
        <w:t>%, -</w:t>
      </w:r>
      <w:r>
        <w:rPr>
          <w:rFonts w:eastAsia="Calibri"/>
          <w:lang w:eastAsia="en-US"/>
        </w:rPr>
        <w:t>5,5</w:t>
      </w:r>
      <w:r w:rsidRPr="008021A2">
        <w:rPr>
          <w:rFonts w:eastAsia="Calibri"/>
          <w:lang w:eastAsia="en-US"/>
        </w:rPr>
        <w:t>% соответственно.</w:t>
      </w:r>
    </w:p>
    <w:p w:rsidR="008273CA" w:rsidRDefault="008273CA" w:rsidP="008273CA">
      <w:pPr>
        <w:jc w:val="both"/>
        <w:rPr>
          <w:rFonts w:eastAsia="Calibri"/>
          <w:lang w:eastAsia="en-US"/>
        </w:rPr>
      </w:pPr>
      <w:r w:rsidRPr="003E339A">
        <w:rPr>
          <w:rFonts w:eastAsia="Calibri"/>
          <w:lang w:eastAsia="en-US"/>
        </w:rPr>
        <w:tab/>
        <w:t xml:space="preserve"> Согласно пункта 3 статьи 184.1 БК РФ проект городского округа Вичуга устанавливает общий объем условно утверждаемых расходов на 201</w:t>
      </w:r>
      <w:r>
        <w:rPr>
          <w:rFonts w:eastAsia="Calibri"/>
          <w:lang w:eastAsia="en-US"/>
        </w:rPr>
        <w:t>6</w:t>
      </w:r>
      <w:r w:rsidRPr="003E339A">
        <w:rPr>
          <w:rFonts w:eastAsia="Calibri"/>
          <w:lang w:eastAsia="en-US"/>
        </w:rPr>
        <w:t xml:space="preserve"> год в сумме 7</w:t>
      </w:r>
      <w:r>
        <w:rPr>
          <w:rFonts w:eastAsia="Calibri"/>
          <w:lang w:eastAsia="en-US"/>
        </w:rPr>
        <w:t>511</w:t>
      </w:r>
      <w:r w:rsidRPr="003E339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9</w:t>
      </w:r>
      <w:r w:rsidRPr="003E339A">
        <w:rPr>
          <w:rFonts w:eastAsia="Calibri"/>
          <w:lang w:eastAsia="en-US"/>
        </w:rPr>
        <w:t xml:space="preserve"> тыс. руб. </w:t>
      </w:r>
      <w:r w:rsidRPr="00451407">
        <w:rPr>
          <w:rFonts w:eastAsia="Calibri"/>
          <w:lang w:eastAsia="en-US"/>
        </w:rPr>
        <w:t xml:space="preserve">(что составляет </w:t>
      </w:r>
      <w:r>
        <w:rPr>
          <w:rFonts w:eastAsia="Calibri"/>
          <w:lang w:eastAsia="en-US"/>
        </w:rPr>
        <w:t>2,6</w:t>
      </w:r>
      <w:r w:rsidRPr="00451407">
        <w:rPr>
          <w:rFonts w:eastAsia="Calibri"/>
          <w:lang w:eastAsia="en-US"/>
        </w:rPr>
        <w:t>% общего объема расходов местного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назначение),</w:t>
      </w:r>
      <w:r>
        <w:rPr>
          <w:rFonts w:eastAsia="Calibri"/>
          <w:lang w:eastAsia="en-US"/>
        </w:rPr>
        <w:t xml:space="preserve"> на 2017</w:t>
      </w:r>
      <w:r w:rsidRPr="003E339A">
        <w:rPr>
          <w:rFonts w:eastAsia="Calibri"/>
          <w:lang w:eastAsia="en-US"/>
        </w:rPr>
        <w:t xml:space="preserve"> год – в сумме </w:t>
      </w:r>
      <w:r>
        <w:rPr>
          <w:rFonts w:eastAsia="Calibri"/>
          <w:lang w:eastAsia="en-US"/>
        </w:rPr>
        <w:t>15259,7</w:t>
      </w:r>
      <w:r w:rsidRPr="003E339A">
        <w:rPr>
          <w:rFonts w:eastAsia="Calibri"/>
          <w:lang w:eastAsia="en-US"/>
        </w:rPr>
        <w:t xml:space="preserve"> тыс. руб. (</w:t>
      </w:r>
      <w:r>
        <w:rPr>
          <w:rFonts w:eastAsia="Calibri"/>
          <w:lang w:eastAsia="en-US"/>
        </w:rPr>
        <w:t>что составило 5,3%</w:t>
      </w:r>
      <w:r w:rsidRPr="003E339A">
        <w:rPr>
          <w:rFonts w:eastAsia="Calibri"/>
          <w:lang w:eastAsia="en-US"/>
        </w:rPr>
        <w:t xml:space="preserve"> общего объема расходов местного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2E3A03" w:rsidRPr="00D833DB" w:rsidRDefault="002E3A03" w:rsidP="008273CA">
      <w:pPr>
        <w:jc w:val="both"/>
        <w:rPr>
          <w:rFonts w:eastAsia="Calibri"/>
          <w:lang w:eastAsia="en-US"/>
        </w:rPr>
      </w:pPr>
    </w:p>
    <w:p w:rsidR="008273CA" w:rsidRPr="000719F9" w:rsidRDefault="008273CA" w:rsidP="008273CA">
      <w:pPr>
        <w:ind w:firstLine="708"/>
        <w:jc w:val="both"/>
      </w:pPr>
      <w:r w:rsidRPr="002B3B12">
        <w:rPr>
          <w:b/>
        </w:rPr>
        <w:t>Анализ структуры расходов бюджета городского округа Вичуга на 201</w:t>
      </w:r>
      <w:r>
        <w:rPr>
          <w:b/>
        </w:rPr>
        <w:t>5</w:t>
      </w:r>
      <w:r w:rsidRPr="002B3B12">
        <w:rPr>
          <w:b/>
        </w:rPr>
        <w:t xml:space="preserve"> год и плановый период 201</w:t>
      </w:r>
      <w:r>
        <w:rPr>
          <w:b/>
        </w:rPr>
        <w:t>6</w:t>
      </w:r>
      <w:r w:rsidRPr="002B3B12">
        <w:rPr>
          <w:b/>
        </w:rPr>
        <w:t xml:space="preserve"> и 201</w:t>
      </w:r>
      <w:r>
        <w:rPr>
          <w:b/>
        </w:rPr>
        <w:t>7</w:t>
      </w:r>
      <w:r w:rsidRPr="002B3B12">
        <w:rPr>
          <w:b/>
        </w:rPr>
        <w:t xml:space="preserve"> годов приведенный в </w:t>
      </w:r>
      <w:r w:rsidRPr="00792D4F">
        <w:rPr>
          <w:b/>
        </w:rPr>
        <w:t xml:space="preserve">Таблице </w:t>
      </w:r>
      <w:r w:rsidR="00CB3C81" w:rsidRPr="00792D4F">
        <w:rPr>
          <w:b/>
        </w:rPr>
        <w:t>5</w:t>
      </w:r>
      <w:r w:rsidRPr="002B3B12">
        <w:rPr>
          <w:b/>
        </w:rPr>
        <w:t xml:space="preserve"> показал, что по отношению к расходам бюджета 201</w:t>
      </w:r>
      <w:r>
        <w:rPr>
          <w:b/>
        </w:rPr>
        <w:t>4</w:t>
      </w:r>
      <w:r w:rsidRPr="002B3B12">
        <w:rPr>
          <w:b/>
        </w:rPr>
        <w:t xml:space="preserve"> года, </w:t>
      </w:r>
      <w:r w:rsidRPr="00490BA8">
        <w:rPr>
          <w:b/>
        </w:rPr>
        <w:t>отмечается снижение показателей расходов в планируемом периоде 2015-2017 годов.</w:t>
      </w:r>
      <w:r w:rsidRPr="00490BA8">
        <w:t xml:space="preserve"> Данные изменения объясняются следующими факторами:</w:t>
      </w:r>
    </w:p>
    <w:p w:rsidR="008273CA" w:rsidRPr="009377FD" w:rsidRDefault="008273CA" w:rsidP="008273CA">
      <w:pPr>
        <w:ind w:firstLine="708"/>
        <w:jc w:val="both"/>
      </w:pPr>
      <w:r w:rsidRPr="009377FD">
        <w:t xml:space="preserve">- </w:t>
      </w:r>
      <w:r w:rsidRPr="00A84AF5">
        <w:t>уменьшена</w:t>
      </w:r>
      <w:r w:rsidRPr="009377FD">
        <w:t xml:space="preserve"> субвенция </w:t>
      </w:r>
      <w:r>
        <w:t>бюджетам городских округов и поселений, входящих в состав территорий муниципальных районов,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«Социальная поддержка детей-сирот и детей, оставшихся без попечения родителей» государственной программы Ивановской области «Социальная поддержка граждан Ивановской области»</w:t>
      </w:r>
      <w:r w:rsidRPr="009377FD">
        <w:t>;</w:t>
      </w:r>
    </w:p>
    <w:p w:rsidR="008273CA" w:rsidRDefault="008273CA" w:rsidP="008273CA">
      <w:pPr>
        <w:ind w:firstLine="708"/>
        <w:jc w:val="both"/>
      </w:pPr>
      <w:r w:rsidRPr="009377FD">
        <w:t>- уменьшена</w:t>
      </w:r>
      <w:r>
        <w:t xml:space="preserve"> субсидия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 в </w:t>
      </w:r>
      <w:r>
        <w:lastRenderedPageBreak/>
        <w:t>рамках подпрограммы «Переселение граждан из аварийного жилищного фонда на территории Ивановской области» государственной программы Ивановской области»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  <w:r w:rsidRPr="009377FD">
        <w:t>;</w:t>
      </w:r>
    </w:p>
    <w:p w:rsidR="008273CA" w:rsidRPr="009377FD" w:rsidRDefault="008273CA" w:rsidP="008273CA">
      <w:pPr>
        <w:ind w:firstLine="708"/>
        <w:jc w:val="both"/>
      </w:pPr>
      <w:r w:rsidRPr="0094553A">
        <w:t>- уменьшена субсидия на обеспечение мероприятий по переселению граждан из аварийного жилищного фонда за счет средств</w:t>
      </w:r>
      <w:r>
        <w:t xml:space="preserve"> бюджетов субъектов Российской Федерации </w:t>
      </w:r>
      <w:r w:rsidRPr="0094553A">
        <w:t>в рамках подпрограммы «Переселение граждан из аварийного жилищного фонда на территории Ивановской области» государственной программы Ивановской области»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области»;</w:t>
      </w:r>
    </w:p>
    <w:p w:rsidR="008273CA" w:rsidRPr="003E339A" w:rsidRDefault="00D833DB" w:rsidP="008273CA">
      <w:pPr>
        <w:rPr>
          <w:b/>
        </w:rPr>
      </w:pPr>
      <w:r>
        <w:rPr>
          <w:b/>
        </w:rPr>
        <w:tab/>
      </w:r>
    </w:p>
    <w:p w:rsidR="002E3A03" w:rsidRDefault="008273CA" w:rsidP="002B745A">
      <w:pPr>
        <w:jc w:val="center"/>
        <w:rPr>
          <w:b/>
        </w:rPr>
      </w:pPr>
      <w:r w:rsidRPr="003E339A">
        <w:rPr>
          <w:b/>
        </w:rPr>
        <w:t>Структура расходов бюджета городского округа Вичуга за период 201</w:t>
      </w:r>
      <w:r>
        <w:rPr>
          <w:b/>
        </w:rPr>
        <w:t>4</w:t>
      </w:r>
      <w:r w:rsidRPr="003E339A">
        <w:rPr>
          <w:b/>
        </w:rPr>
        <w:t>-201</w:t>
      </w:r>
      <w:r>
        <w:rPr>
          <w:b/>
        </w:rPr>
        <w:t>7</w:t>
      </w:r>
      <w:r w:rsidRPr="003E339A">
        <w:rPr>
          <w:b/>
        </w:rPr>
        <w:t xml:space="preserve"> годов в ведомственном разрезе</w:t>
      </w:r>
    </w:p>
    <w:p w:rsidR="002B745A" w:rsidRPr="003E339A" w:rsidRDefault="002B745A" w:rsidP="002B745A">
      <w:pPr>
        <w:jc w:val="center"/>
        <w:rPr>
          <w:b/>
        </w:rPr>
      </w:pPr>
    </w:p>
    <w:p w:rsidR="008273CA" w:rsidRPr="003E339A" w:rsidRDefault="008273CA" w:rsidP="008273CA">
      <w:pPr>
        <w:jc w:val="right"/>
      </w:pPr>
      <w:r w:rsidRPr="00792D4F">
        <w:t>Таблица</w:t>
      </w:r>
      <w:r>
        <w:t xml:space="preserve"> </w:t>
      </w:r>
      <w:r w:rsidR="00CB3C81">
        <w:t>5</w:t>
      </w:r>
      <w:r>
        <w:t xml:space="preserve"> </w:t>
      </w:r>
      <w:r w:rsidRPr="003E339A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1613"/>
        <w:gridCol w:w="1552"/>
        <w:gridCol w:w="1411"/>
        <w:gridCol w:w="1378"/>
      </w:tblGrid>
      <w:tr w:rsidR="008273CA" w:rsidRPr="003E339A" w:rsidTr="00612CB3">
        <w:tc>
          <w:tcPr>
            <w:tcW w:w="3652" w:type="dxa"/>
            <w:shd w:val="clear" w:color="auto" w:fill="auto"/>
          </w:tcPr>
          <w:p w:rsidR="008273CA" w:rsidRPr="003E339A" w:rsidRDefault="008273CA" w:rsidP="00612CB3">
            <w:pPr>
              <w:jc w:val="center"/>
              <w:rPr>
                <w:b/>
              </w:rPr>
            </w:pPr>
            <w:r w:rsidRPr="003E339A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8273CA" w:rsidRPr="003E339A" w:rsidRDefault="008273CA" w:rsidP="00612CB3">
            <w:pPr>
              <w:jc w:val="center"/>
              <w:rPr>
                <w:b/>
              </w:rPr>
            </w:pPr>
            <w:r>
              <w:rPr>
                <w:b/>
              </w:rPr>
              <w:t>Уточненный план на 01.11.2014</w:t>
            </w:r>
            <w:r w:rsidRPr="003E339A">
              <w:rPr>
                <w:b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</w:tcPr>
          <w:p w:rsidR="008273CA" w:rsidRPr="003E339A" w:rsidRDefault="008273CA" w:rsidP="00612CB3">
            <w:pPr>
              <w:jc w:val="center"/>
              <w:rPr>
                <w:b/>
              </w:rPr>
            </w:pPr>
            <w:r w:rsidRPr="003E339A">
              <w:rPr>
                <w:b/>
              </w:rPr>
              <w:t>План на 201</w:t>
            </w:r>
            <w:r>
              <w:rPr>
                <w:b/>
              </w:rPr>
              <w:t>5</w:t>
            </w:r>
            <w:r w:rsidRPr="003E339A">
              <w:rPr>
                <w:b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8273CA" w:rsidRPr="003E339A" w:rsidRDefault="008273CA" w:rsidP="00612CB3">
            <w:pPr>
              <w:jc w:val="center"/>
              <w:rPr>
                <w:b/>
              </w:rPr>
            </w:pPr>
            <w:r w:rsidRPr="003E339A">
              <w:rPr>
                <w:b/>
              </w:rPr>
              <w:t>План на 201</w:t>
            </w:r>
            <w:r>
              <w:rPr>
                <w:b/>
              </w:rPr>
              <w:t>6</w:t>
            </w:r>
            <w:r w:rsidRPr="003E339A">
              <w:rPr>
                <w:b/>
              </w:rPr>
              <w:t xml:space="preserve"> год</w:t>
            </w:r>
          </w:p>
        </w:tc>
        <w:tc>
          <w:tcPr>
            <w:tcW w:w="1383" w:type="dxa"/>
            <w:shd w:val="clear" w:color="auto" w:fill="auto"/>
          </w:tcPr>
          <w:p w:rsidR="008273CA" w:rsidRPr="003E339A" w:rsidRDefault="008273CA" w:rsidP="00612CB3">
            <w:pPr>
              <w:jc w:val="center"/>
              <w:rPr>
                <w:b/>
              </w:rPr>
            </w:pPr>
            <w:r w:rsidRPr="003E339A">
              <w:rPr>
                <w:b/>
              </w:rPr>
              <w:t>План на 201</w:t>
            </w:r>
            <w:r>
              <w:rPr>
                <w:b/>
              </w:rPr>
              <w:t>7</w:t>
            </w:r>
            <w:r w:rsidRPr="003E339A">
              <w:rPr>
                <w:b/>
              </w:rPr>
              <w:t xml:space="preserve"> год</w:t>
            </w:r>
          </w:p>
        </w:tc>
      </w:tr>
      <w:tr w:rsidR="008273CA" w:rsidRPr="003E339A" w:rsidTr="00612CB3">
        <w:tc>
          <w:tcPr>
            <w:tcW w:w="3652" w:type="dxa"/>
            <w:shd w:val="clear" w:color="auto" w:fill="auto"/>
          </w:tcPr>
          <w:p w:rsidR="008273CA" w:rsidRPr="003E339A" w:rsidRDefault="008273CA" w:rsidP="00612CB3">
            <w:pPr>
              <w:rPr>
                <w:sz w:val="22"/>
                <w:szCs w:val="22"/>
              </w:rPr>
            </w:pPr>
            <w:r w:rsidRPr="003E339A">
              <w:rPr>
                <w:sz w:val="22"/>
                <w:szCs w:val="22"/>
              </w:rPr>
              <w:t>Городская Дума городского округа Вичуга</w:t>
            </w:r>
          </w:p>
        </w:tc>
        <w:tc>
          <w:tcPr>
            <w:tcW w:w="1559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5603,2</w:t>
            </w:r>
          </w:p>
        </w:tc>
        <w:tc>
          <w:tcPr>
            <w:tcW w:w="1560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6146,3</w:t>
            </w:r>
          </w:p>
        </w:tc>
        <w:tc>
          <w:tcPr>
            <w:tcW w:w="1417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6146,3</w:t>
            </w:r>
          </w:p>
        </w:tc>
        <w:tc>
          <w:tcPr>
            <w:tcW w:w="1383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6146,3</w:t>
            </w:r>
          </w:p>
        </w:tc>
      </w:tr>
      <w:tr w:rsidR="008273CA" w:rsidRPr="003E339A" w:rsidTr="00612CB3">
        <w:tc>
          <w:tcPr>
            <w:tcW w:w="3652" w:type="dxa"/>
            <w:shd w:val="clear" w:color="auto" w:fill="auto"/>
          </w:tcPr>
          <w:p w:rsidR="008273CA" w:rsidRPr="003E339A" w:rsidRDefault="008273CA" w:rsidP="00612CB3">
            <w:pPr>
              <w:rPr>
                <w:sz w:val="22"/>
                <w:szCs w:val="22"/>
              </w:rPr>
            </w:pPr>
            <w:r w:rsidRPr="003E339A">
              <w:rPr>
                <w:sz w:val="22"/>
                <w:szCs w:val="22"/>
              </w:rPr>
              <w:t>Администрация  городского округа Вичуга</w:t>
            </w:r>
          </w:p>
        </w:tc>
        <w:tc>
          <w:tcPr>
            <w:tcW w:w="1559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35146,4</w:t>
            </w:r>
          </w:p>
        </w:tc>
        <w:tc>
          <w:tcPr>
            <w:tcW w:w="1560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40898,6</w:t>
            </w:r>
          </w:p>
        </w:tc>
        <w:tc>
          <w:tcPr>
            <w:tcW w:w="1417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40823,6</w:t>
            </w:r>
          </w:p>
        </w:tc>
        <w:tc>
          <w:tcPr>
            <w:tcW w:w="1383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40706,9</w:t>
            </w:r>
          </w:p>
        </w:tc>
      </w:tr>
      <w:tr w:rsidR="008273CA" w:rsidRPr="003E339A" w:rsidTr="00612CB3">
        <w:tc>
          <w:tcPr>
            <w:tcW w:w="3652" w:type="dxa"/>
            <w:shd w:val="clear" w:color="auto" w:fill="auto"/>
          </w:tcPr>
          <w:p w:rsidR="008273CA" w:rsidRPr="003E339A" w:rsidRDefault="008273CA" w:rsidP="00612CB3">
            <w:pPr>
              <w:rPr>
                <w:sz w:val="22"/>
                <w:szCs w:val="22"/>
              </w:rPr>
            </w:pPr>
            <w:r w:rsidRPr="003E339A">
              <w:rPr>
                <w:sz w:val="22"/>
                <w:szCs w:val="22"/>
              </w:rPr>
              <w:t>Финансовый отдел администрации  городского округа Вичуга</w:t>
            </w:r>
          </w:p>
        </w:tc>
        <w:tc>
          <w:tcPr>
            <w:tcW w:w="1559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68245,2</w:t>
            </w:r>
          </w:p>
        </w:tc>
        <w:tc>
          <w:tcPr>
            <w:tcW w:w="1560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61338,7</w:t>
            </w:r>
          </w:p>
        </w:tc>
        <w:tc>
          <w:tcPr>
            <w:tcW w:w="1417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56964,1</w:t>
            </w:r>
          </w:p>
        </w:tc>
        <w:tc>
          <w:tcPr>
            <w:tcW w:w="1383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55375,9</w:t>
            </w:r>
          </w:p>
        </w:tc>
      </w:tr>
      <w:tr w:rsidR="008273CA" w:rsidRPr="003E339A" w:rsidTr="00612CB3">
        <w:tc>
          <w:tcPr>
            <w:tcW w:w="3652" w:type="dxa"/>
            <w:shd w:val="clear" w:color="auto" w:fill="auto"/>
          </w:tcPr>
          <w:p w:rsidR="008273CA" w:rsidRPr="003E339A" w:rsidRDefault="008273CA" w:rsidP="00612CB3">
            <w:pPr>
              <w:rPr>
                <w:sz w:val="22"/>
                <w:szCs w:val="22"/>
              </w:rPr>
            </w:pPr>
            <w:r w:rsidRPr="003E339A">
              <w:rPr>
                <w:sz w:val="22"/>
                <w:szCs w:val="22"/>
              </w:rPr>
              <w:t>Комитет по управлению имуществом городского округа Вичуга</w:t>
            </w:r>
          </w:p>
        </w:tc>
        <w:tc>
          <w:tcPr>
            <w:tcW w:w="1559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93335,7</w:t>
            </w:r>
          </w:p>
        </w:tc>
        <w:tc>
          <w:tcPr>
            <w:tcW w:w="1560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10954,3</w:t>
            </w:r>
          </w:p>
        </w:tc>
        <w:tc>
          <w:tcPr>
            <w:tcW w:w="1417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10324,7</w:t>
            </w:r>
          </w:p>
        </w:tc>
        <w:tc>
          <w:tcPr>
            <w:tcW w:w="1383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15065,5</w:t>
            </w:r>
          </w:p>
        </w:tc>
      </w:tr>
      <w:tr w:rsidR="008273CA" w:rsidRPr="003E339A" w:rsidTr="00612CB3">
        <w:tc>
          <w:tcPr>
            <w:tcW w:w="3652" w:type="dxa"/>
            <w:shd w:val="clear" w:color="auto" w:fill="auto"/>
          </w:tcPr>
          <w:p w:rsidR="008273CA" w:rsidRPr="003E339A" w:rsidRDefault="008273CA" w:rsidP="00612CB3">
            <w:pPr>
              <w:rPr>
                <w:sz w:val="22"/>
                <w:szCs w:val="22"/>
              </w:rPr>
            </w:pPr>
            <w:r w:rsidRPr="003E339A">
              <w:rPr>
                <w:sz w:val="22"/>
                <w:szCs w:val="22"/>
              </w:rPr>
              <w:t>Отдел образования администрации городского округа Вичуга</w:t>
            </w:r>
          </w:p>
        </w:tc>
        <w:tc>
          <w:tcPr>
            <w:tcW w:w="1559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256466,9</w:t>
            </w:r>
          </w:p>
        </w:tc>
        <w:tc>
          <w:tcPr>
            <w:tcW w:w="1560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255883,0</w:t>
            </w:r>
          </w:p>
        </w:tc>
        <w:tc>
          <w:tcPr>
            <w:tcW w:w="1417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232427,8</w:t>
            </w:r>
          </w:p>
        </w:tc>
        <w:tc>
          <w:tcPr>
            <w:tcW w:w="1383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227045,3</w:t>
            </w:r>
          </w:p>
        </w:tc>
      </w:tr>
      <w:tr w:rsidR="008273CA" w:rsidRPr="003E339A" w:rsidTr="00612CB3">
        <w:tc>
          <w:tcPr>
            <w:tcW w:w="3652" w:type="dxa"/>
            <w:shd w:val="clear" w:color="auto" w:fill="auto"/>
          </w:tcPr>
          <w:p w:rsidR="008273CA" w:rsidRPr="003E339A" w:rsidRDefault="008273CA" w:rsidP="00612CB3">
            <w:pPr>
              <w:rPr>
                <w:sz w:val="22"/>
                <w:szCs w:val="22"/>
              </w:rPr>
            </w:pPr>
            <w:r w:rsidRPr="003E339A">
              <w:rPr>
                <w:sz w:val="22"/>
                <w:szCs w:val="22"/>
              </w:rPr>
              <w:t>Отдел культуры администрации городского округа Вичуга</w:t>
            </w:r>
          </w:p>
        </w:tc>
        <w:tc>
          <w:tcPr>
            <w:tcW w:w="1559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45840,2</w:t>
            </w:r>
          </w:p>
        </w:tc>
        <w:tc>
          <w:tcPr>
            <w:tcW w:w="1560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49790,0</w:t>
            </w:r>
          </w:p>
        </w:tc>
        <w:tc>
          <w:tcPr>
            <w:tcW w:w="1417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47740,4</w:t>
            </w:r>
          </w:p>
        </w:tc>
        <w:tc>
          <w:tcPr>
            <w:tcW w:w="1383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40727,5</w:t>
            </w:r>
          </w:p>
        </w:tc>
      </w:tr>
      <w:tr w:rsidR="008273CA" w:rsidRPr="003E339A" w:rsidTr="00612CB3">
        <w:tc>
          <w:tcPr>
            <w:tcW w:w="3652" w:type="dxa"/>
            <w:shd w:val="clear" w:color="auto" w:fill="auto"/>
          </w:tcPr>
          <w:p w:rsidR="008273CA" w:rsidRPr="003E339A" w:rsidRDefault="008273CA" w:rsidP="00612CB3">
            <w:pPr>
              <w:rPr>
                <w:sz w:val="22"/>
                <w:szCs w:val="22"/>
              </w:rPr>
            </w:pPr>
            <w:r w:rsidRPr="003E339A">
              <w:rPr>
                <w:sz w:val="22"/>
                <w:szCs w:val="22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559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32436,7</w:t>
            </w:r>
          </w:p>
        </w:tc>
        <w:tc>
          <w:tcPr>
            <w:tcW w:w="1560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31881,1</w:t>
            </w:r>
          </w:p>
        </w:tc>
        <w:tc>
          <w:tcPr>
            <w:tcW w:w="1417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31314,7</w:t>
            </w:r>
          </w:p>
        </w:tc>
        <w:tc>
          <w:tcPr>
            <w:tcW w:w="1383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31457,7</w:t>
            </w:r>
          </w:p>
        </w:tc>
      </w:tr>
      <w:tr w:rsidR="008273CA" w:rsidRPr="003E339A" w:rsidTr="00612CB3">
        <w:tc>
          <w:tcPr>
            <w:tcW w:w="3652" w:type="dxa"/>
            <w:shd w:val="clear" w:color="auto" w:fill="auto"/>
          </w:tcPr>
          <w:p w:rsidR="008273CA" w:rsidRPr="003E339A" w:rsidRDefault="008273CA" w:rsidP="00612CB3">
            <w:pPr>
              <w:rPr>
                <w:sz w:val="22"/>
                <w:szCs w:val="22"/>
              </w:rPr>
            </w:pPr>
            <w:r w:rsidRPr="003E339A">
              <w:rPr>
                <w:sz w:val="22"/>
                <w:szCs w:val="22"/>
              </w:rPr>
              <w:t>Контрольно-счетная комиссия городского округа Вичуга</w:t>
            </w:r>
          </w:p>
        </w:tc>
        <w:tc>
          <w:tcPr>
            <w:tcW w:w="1559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1853,9</w:t>
            </w:r>
          </w:p>
        </w:tc>
        <w:tc>
          <w:tcPr>
            <w:tcW w:w="1560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2172,6</w:t>
            </w:r>
          </w:p>
        </w:tc>
        <w:tc>
          <w:tcPr>
            <w:tcW w:w="1417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2172,6</w:t>
            </w:r>
          </w:p>
        </w:tc>
        <w:tc>
          <w:tcPr>
            <w:tcW w:w="1383" w:type="dxa"/>
            <w:shd w:val="clear" w:color="auto" w:fill="auto"/>
          </w:tcPr>
          <w:p w:rsidR="008273CA" w:rsidRPr="003E339A" w:rsidRDefault="008273CA" w:rsidP="00612CB3">
            <w:pPr>
              <w:jc w:val="center"/>
            </w:pPr>
            <w:r>
              <w:t>2172,6</w:t>
            </w:r>
          </w:p>
        </w:tc>
      </w:tr>
      <w:tr w:rsidR="008273CA" w:rsidRPr="003E339A" w:rsidTr="00612CB3">
        <w:tc>
          <w:tcPr>
            <w:tcW w:w="3652" w:type="dxa"/>
            <w:shd w:val="clear" w:color="auto" w:fill="auto"/>
          </w:tcPr>
          <w:p w:rsidR="008273CA" w:rsidRPr="003E339A" w:rsidRDefault="008273CA" w:rsidP="00612CB3">
            <w:pPr>
              <w:rPr>
                <w:b/>
              </w:rPr>
            </w:pPr>
            <w:r w:rsidRPr="003E339A">
              <w:rPr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8273CA" w:rsidRPr="003E339A" w:rsidRDefault="008273CA" w:rsidP="00612CB3">
            <w:pPr>
              <w:jc w:val="center"/>
              <w:rPr>
                <w:b/>
              </w:rPr>
            </w:pPr>
            <w:r>
              <w:rPr>
                <w:b/>
              </w:rPr>
              <w:t>538928,2</w:t>
            </w:r>
          </w:p>
        </w:tc>
        <w:tc>
          <w:tcPr>
            <w:tcW w:w="1560" w:type="dxa"/>
            <w:shd w:val="clear" w:color="auto" w:fill="auto"/>
          </w:tcPr>
          <w:p w:rsidR="008273CA" w:rsidRPr="003E339A" w:rsidRDefault="008273CA" w:rsidP="00612CB3">
            <w:pPr>
              <w:jc w:val="center"/>
              <w:rPr>
                <w:b/>
              </w:rPr>
            </w:pPr>
            <w:r>
              <w:rPr>
                <w:b/>
              </w:rPr>
              <w:t>459064,6</w:t>
            </w:r>
          </w:p>
        </w:tc>
        <w:tc>
          <w:tcPr>
            <w:tcW w:w="1417" w:type="dxa"/>
            <w:shd w:val="clear" w:color="auto" w:fill="auto"/>
          </w:tcPr>
          <w:p w:rsidR="008273CA" w:rsidRPr="003E339A" w:rsidRDefault="008273CA" w:rsidP="00612CB3">
            <w:pPr>
              <w:jc w:val="center"/>
              <w:rPr>
                <w:b/>
              </w:rPr>
            </w:pPr>
            <w:r>
              <w:rPr>
                <w:b/>
              </w:rPr>
              <w:t>427914,2</w:t>
            </w:r>
          </w:p>
        </w:tc>
        <w:tc>
          <w:tcPr>
            <w:tcW w:w="1383" w:type="dxa"/>
            <w:shd w:val="clear" w:color="auto" w:fill="auto"/>
          </w:tcPr>
          <w:p w:rsidR="008273CA" w:rsidRPr="003E339A" w:rsidRDefault="008273CA" w:rsidP="00612CB3">
            <w:pPr>
              <w:jc w:val="center"/>
              <w:rPr>
                <w:b/>
              </w:rPr>
            </w:pPr>
            <w:r>
              <w:rPr>
                <w:b/>
              </w:rPr>
              <w:t>418697,7</w:t>
            </w:r>
          </w:p>
        </w:tc>
      </w:tr>
    </w:tbl>
    <w:p w:rsidR="008273CA" w:rsidRPr="003E339A" w:rsidRDefault="008273CA" w:rsidP="008273CA"/>
    <w:p w:rsidR="008273CA" w:rsidRDefault="008273CA" w:rsidP="008273CA">
      <w:pPr>
        <w:jc w:val="both"/>
      </w:pPr>
      <w:r w:rsidRPr="003E339A">
        <w:tab/>
        <w:t>Основная доля расходов бюджета в общем объеме расходов приходится по Отделу образования администрации городского округа Вичуга: в 201</w:t>
      </w:r>
      <w:r>
        <w:t>4</w:t>
      </w:r>
      <w:r w:rsidRPr="003E339A">
        <w:t xml:space="preserve"> году – </w:t>
      </w:r>
      <w:r>
        <w:t>47,6</w:t>
      </w:r>
      <w:r w:rsidRPr="003E339A">
        <w:t>%, в 201</w:t>
      </w:r>
      <w:r>
        <w:t>5</w:t>
      </w:r>
      <w:r w:rsidRPr="003E339A">
        <w:t xml:space="preserve"> году – </w:t>
      </w:r>
      <w:r>
        <w:t>55,7%, в 2016</w:t>
      </w:r>
      <w:r w:rsidRPr="003E339A">
        <w:t xml:space="preserve"> году – </w:t>
      </w:r>
      <w:r>
        <w:t>54,3</w:t>
      </w:r>
      <w:r w:rsidRPr="003E339A">
        <w:t>%, в 201</w:t>
      </w:r>
      <w:r>
        <w:t>7</w:t>
      </w:r>
      <w:r w:rsidRPr="003E339A">
        <w:t xml:space="preserve"> году – </w:t>
      </w:r>
      <w:r>
        <w:t>54,2</w:t>
      </w:r>
      <w:r w:rsidRPr="003E339A">
        <w:t xml:space="preserve">%. </w:t>
      </w:r>
    </w:p>
    <w:p w:rsidR="002E3A03" w:rsidRPr="003E339A" w:rsidRDefault="002E3A03" w:rsidP="008273CA">
      <w:pPr>
        <w:jc w:val="both"/>
      </w:pPr>
    </w:p>
    <w:p w:rsidR="008273CA" w:rsidRDefault="008273CA" w:rsidP="00D833DB">
      <w:pPr>
        <w:ind w:firstLine="708"/>
        <w:jc w:val="both"/>
        <w:rPr>
          <w:b/>
        </w:rPr>
      </w:pPr>
      <w:r w:rsidRPr="002B3B12">
        <w:rPr>
          <w:b/>
        </w:rPr>
        <w:t>Равномерного темпа роста бюджетных ассигнований в анализируемом периоде не наблюдается не по одному из ведомств.</w:t>
      </w:r>
    </w:p>
    <w:p w:rsidR="000416AC" w:rsidRPr="002B3B12" w:rsidRDefault="000416AC" w:rsidP="00D833DB">
      <w:pPr>
        <w:ind w:firstLine="708"/>
        <w:jc w:val="both"/>
        <w:rPr>
          <w:b/>
        </w:rPr>
      </w:pPr>
    </w:p>
    <w:p w:rsidR="008273CA" w:rsidRDefault="008273CA" w:rsidP="00D833DB">
      <w:pPr>
        <w:jc w:val="both"/>
      </w:pPr>
      <w:r w:rsidRPr="003E339A">
        <w:tab/>
        <w:t>Данные о расходах бюджета городского округа Вичуга на 201</w:t>
      </w:r>
      <w:r>
        <w:t>5</w:t>
      </w:r>
      <w:r w:rsidRPr="003E339A">
        <w:t xml:space="preserve"> год и на плановый период 201</w:t>
      </w:r>
      <w:r>
        <w:t>6</w:t>
      </w:r>
      <w:r w:rsidRPr="003E339A">
        <w:t xml:space="preserve"> и 201</w:t>
      </w:r>
      <w:r>
        <w:t>7</w:t>
      </w:r>
      <w:r w:rsidRPr="003E339A">
        <w:t xml:space="preserve"> годов в функциональном разрезе представлены на диаграмме </w:t>
      </w:r>
      <w:r>
        <w:t>4</w:t>
      </w:r>
    </w:p>
    <w:p w:rsidR="00000C71" w:rsidRDefault="00000C71" w:rsidP="008273CA">
      <w:pPr>
        <w:jc w:val="right"/>
      </w:pPr>
    </w:p>
    <w:p w:rsidR="000416AC" w:rsidRDefault="000416AC" w:rsidP="008273CA">
      <w:pPr>
        <w:jc w:val="right"/>
      </w:pPr>
    </w:p>
    <w:p w:rsidR="002B745A" w:rsidRDefault="002B745A" w:rsidP="008273CA">
      <w:pPr>
        <w:jc w:val="right"/>
      </w:pPr>
    </w:p>
    <w:p w:rsidR="008273CA" w:rsidRPr="00F01026" w:rsidRDefault="008273CA" w:rsidP="008273CA">
      <w:pPr>
        <w:jc w:val="right"/>
      </w:pPr>
      <w:r w:rsidRPr="00FB545C">
        <w:lastRenderedPageBreak/>
        <w:t>Диаграмм</w:t>
      </w:r>
      <w:r>
        <w:t>а 4</w:t>
      </w:r>
    </w:p>
    <w:p w:rsidR="008273CA" w:rsidRPr="003E339A" w:rsidRDefault="008273CA" w:rsidP="008273CA">
      <w:pPr>
        <w:jc w:val="center"/>
        <w:rPr>
          <w:b/>
        </w:rPr>
      </w:pPr>
      <w:r w:rsidRPr="003E339A">
        <w:rPr>
          <w:b/>
        </w:rPr>
        <w:t>Расходы бюджета городского округа Вичуга на 201</w:t>
      </w:r>
      <w:r>
        <w:rPr>
          <w:b/>
        </w:rPr>
        <w:t>5</w:t>
      </w:r>
      <w:r w:rsidRPr="003E339A">
        <w:rPr>
          <w:b/>
        </w:rPr>
        <w:t xml:space="preserve"> год и</w:t>
      </w:r>
    </w:p>
    <w:p w:rsidR="008273CA" w:rsidRPr="003E339A" w:rsidRDefault="008273CA" w:rsidP="008273CA">
      <w:pPr>
        <w:jc w:val="center"/>
        <w:rPr>
          <w:b/>
        </w:rPr>
      </w:pPr>
      <w:r w:rsidRPr="003E339A">
        <w:rPr>
          <w:b/>
        </w:rPr>
        <w:t>плановый период 201</w:t>
      </w:r>
      <w:r>
        <w:rPr>
          <w:b/>
        </w:rPr>
        <w:t>6</w:t>
      </w:r>
      <w:r w:rsidRPr="003E339A">
        <w:rPr>
          <w:b/>
        </w:rPr>
        <w:t xml:space="preserve"> и 201</w:t>
      </w:r>
      <w:r>
        <w:rPr>
          <w:b/>
        </w:rPr>
        <w:t>7</w:t>
      </w:r>
      <w:r w:rsidRPr="003E339A">
        <w:rPr>
          <w:b/>
        </w:rPr>
        <w:t xml:space="preserve"> годов в функциональном разрезе (в млн. руб.)</w:t>
      </w:r>
    </w:p>
    <w:p w:rsidR="008273CA" w:rsidRPr="003E339A" w:rsidRDefault="008273CA" w:rsidP="008273CA">
      <w:pPr>
        <w:jc w:val="center"/>
        <w:rPr>
          <w:b/>
        </w:rPr>
      </w:pPr>
    </w:p>
    <w:p w:rsidR="008273CA" w:rsidRPr="003E339A" w:rsidRDefault="008273CA" w:rsidP="008273CA">
      <w:pPr>
        <w:jc w:val="center"/>
        <w:rPr>
          <w:b/>
        </w:rPr>
      </w:pPr>
    </w:p>
    <w:p w:rsidR="008273CA" w:rsidRPr="00641F01" w:rsidRDefault="00AD0936" w:rsidP="00641F01">
      <w:pPr>
        <w:jc w:val="center"/>
        <w:rPr>
          <w:b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115050" cy="61722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73CA" w:rsidRDefault="008273CA" w:rsidP="008273CA">
      <w:pPr>
        <w:ind w:firstLine="708"/>
        <w:jc w:val="both"/>
      </w:pPr>
      <w:r w:rsidRPr="003E339A">
        <w:t>Анализ расходов бюджета городского округа Вичуга в функциональном разрезе позволяет прийти к выводу, что основная доля расходов приходится на образование. Положительная динамика выделения бюджетных ассигнований наблюдается на общегосударственные вопросы. При этом темпы роста расходов  на национальную безопасность, национальную экономику, ЖКХ, культуру и кинематографию, социальную политику, физическую культуру и спорт, средства массовой информации остаются не стабильными. Расходы по обслуживанию государственно</w:t>
      </w:r>
      <w:r>
        <w:t>го и муниципального долга в 2015</w:t>
      </w:r>
      <w:r w:rsidRPr="003E339A">
        <w:t>, 201</w:t>
      </w:r>
      <w:r>
        <w:t>6</w:t>
      </w:r>
      <w:r w:rsidRPr="003E339A">
        <w:t xml:space="preserve"> и 201</w:t>
      </w:r>
      <w:r>
        <w:t>7</w:t>
      </w:r>
      <w:r w:rsidRPr="003E339A">
        <w:t xml:space="preserve"> году составляет по 0,2 млн. рублей соответственно.</w:t>
      </w:r>
    </w:p>
    <w:p w:rsidR="002E3A03" w:rsidRPr="003E339A" w:rsidRDefault="002E3A03" w:rsidP="008273CA">
      <w:pPr>
        <w:ind w:firstLine="708"/>
        <w:jc w:val="both"/>
      </w:pPr>
    </w:p>
    <w:p w:rsidR="009F250E" w:rsidRPr="008C0CED" w:rsidRDefault="00641F01" w:rsidP="000416AC">
      <w:pPr>
        <w:ind w:firstLine="708"/>
        <w:jc w:val="both"/>
      </w:pPr>
      <w:r w:rsidRPr="008C0CED">
        <w:lastRenderedPageBreak/>
        <w:t>Доля р</w:t>
      </w:r>
      <w:r w:rsidR="008273CA" w:rsidRPr="008C0CED">
        <w:t>асход</w:t>
      </w:r>
      <w:r w:rsidRPr="008C0CED">
        <w:t>ов</w:t>
      </w:r>
      <w:r w:rsidR="008273CA" w:rsidRPr="008C0CED">
        <w:t xml:space="preserve"> бюджета городского округа Вичуга предусмотренны</w:t>
      </w:r>
      <w:r w:rsidRPr="008C0CED">
        <w:t>х</w:t>
      </w:r>
      <w:r w:rsidR="008273CA" w:rsidRPr="008C0CED">
        <w:t xml:space="preserve"> по муниципальным заданиям на муниципальные услуги</w:t>
      </w:r>
      <w:r w:rsidRPr="008C0CED">
        <w:t xml:space="preserve"> в общем объеме расходов</w:t>
      </w:r>
      <w:r w:rsidR="008273CA" w:rsidRPr="008C0CED">
        <w:t xml:space="preserve"> за 2014 год, на 201</w:t>
      </w:r>
      <w:r w:rsidRPr="008C0CED">
        <w:t>5</w:t>
      </w:r>
      <w:r w:rsidR="008273CA" w:rsidRPr="008C0CED">
        <w:t xml:space="preserve"> год и плановый период 2016 и 2017 годов</w:t>
      </w:r>
      <w:r w:rsidR="008273CA" w:rsidRPr="008C0CED">
        <w:rPr>
          <w:b/>
        </w:rPr>
        <w:t xml:space="preserve"> </w:t>
      </w:r>
      <w:r w:rsidRPr="008C0CED">
        <w:t>составили:</w:t>
      </w:r>
    </w:p>
    <w:p w:rsidR="00641F01" w:rsidRPr="008C0CED" w:rsidRDefault="00641F01" w:rsidP="000416AC">
      <w:pPr>
        <w:ind w:firstLine="708"/>
        <w:jc w:val="both"/>
      </w:pPr>
      <w:r w:rsidRPr="008C0CED">
        <w:t>- 2015 год – 35,1%;</w:t>
      </w:r>
    </w:p>
    <w:p w:rsidR="00641F01" w:rsidRPr="008C0CED" w:rsidRDefault="00641F01" w:rsidP="00641F01">
      <w:pPr>
        <w:ind w:firstLine="708"/>
        <w:jc w:val="both"/>
      </w:pPr>
      <w:r w:rsidRPr="008C0CED">
        <w:t>- 2016 год – 37,0%;</w:t>
      </w:r>
    </w:p>
    <w:p w:rsidR="008B3FF0" w:rsidRPr="002E3A03" w:rsidRDefault="00641F01" w:rsidP="002E3A03">
      <w:pPr>
        <w:ind w:firstLine="708"/>
        <w:jc w:val="both"/>
      </w:pPr>
      <w:r w:rsidRPr="008C0CED">
        <w:t>- 2017 год – 37,2%.</w:t>
      </w:r>
    </w:p>
    <w:p w:rsidR="002E3A03" w:rsidRDefault="002E3A03" w:rsidP="00591448">
      <w:pPr>
        <w:jc w:val="center"/>
        <w:rPr>
          <w:b/>
        </w:rPr>
      </w:pPr>
    </w:p>
    <w:p w:rsidR="00612CB3" w:rsidRDefault="00612CB3" w:rsidP="00612CB3">
      <w:pPr>
        <w:ind w:firstLine="708"/>
        <w:jc w:val="both"/>
      </w:pPr>
      <w:r w:rsidRPr="00CE06EA">
        <w:t>Не программные расходы запланированы на реализацию следующих направлений:</w:t>
      </w:r>
    </w:p>
    <w:p w:rsidR="00792D4F" w:rsidRPr="00CE06EA" w:rsidRDefault="00792D4F" w:rsidP="00612CB3">
      <w:pPr>
        <w:ind w:firstLine="708"/>
        <w:jc w:val="both"/>
      </w:pPr>
    </w:p>
    <w:p w:rsidR="00612CB3" w:rsidRPr="00CE06EA" w:rsidRDefault="000A52B5" w:rsidP="00612CB3">
      <w:pPr>
        <w:ind w:firstLine="708"/>
        <w:jc w:val="right"/>
      </w:pPr>
      <w:r w:rsidRPr="00792D4F">
        <w:t>Таблица 6</w:t>
      </w:r>
      <w:r>
        <w:t xml:space="preserve"> </w:t>
      </w:r>
      <w:r w:rsidR="00612CB3" w:rsidRPr="00CE06EA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1416"/>
        <w:gridCol w:w="1585"/>
        <w:gridCol w:w="1448"/>
      </w:tblGrid>
      <w:tr w:rsidR="00612CB3" w:rsidRPr="00E864FA" w:rsidTr="00612CB3">
        <w:tc>
          <w:tcPr>
            <w:tcW w:w="5122" w:type="dxa"/>
            <w:shd w:val="clear" w:color="auto" w:fill="auto"/>
          </w:tcPr>
          <w:p w:rsidR="00612CB3" w:rsidRPr="00E864FA" w:rsidRDefault="00612CB3" w:rsidP="00612C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64FA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416" w:type="dxa"/>
            <w:shd w:val="clear" w:color="auto" w:fill="auto"/>
          </w:tcPr>
          <w:p w:rsidR="00612CB3" w:rsidRPr="00E864FA" w:rsidRDefault="00612CB3" w:rsidP="00612C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64FA">
              <w:rPr>
                <w:b/>
                <w:color w:val="000000"/>
              </w:rPr>
              <w:t>2015 год</w:t>
            </w:r>
          </w:p>
        </w:tc>
        <w:tc>
          <w:tcPr>
            <w:tcW w:w="1585" w:type="dxa"/>
            <w:shd w:val="clear" w:color="auto" w:fill="auto"/>
          </w:tcPr>
          <w:p w:rsidR="00612CB3" w:rsidRPr="00E864FA" w:rsidRDefault="00612CB3" w:rsidP="00612C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64FA">
              <w:rPr>
                <w:b/>
                <w:color w:val="000000"/>
              </w:rPr>
              <w:t>2016 год</w:t>
            </w:r>
          </w:p>
        </w:tc>
        <w:tc>
          <w:tcPr>
            <w:tcW w:w="1448" w:type="dxa"/>
            <w:shd w:val="clear" w:color="auto" w:fill="auto"/>
          </w:tcPr>
          <w:p w:rsidR="00612CB3" w:rsidRPr="00E864FA" w:rsidRDefault="00612CB3" w:rsidP="00612C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64FA">
              <w:rPr>
                <w:b/>
                <w:color w:val="000000"/>
              </w:rPr>
              <w:t>2017 год</w:t>
            </w:r>
          </w:p>
        </w:tc>
      </w:tr>
      <w:tr w:rsidR="00612CB3" w:rsidRPr="00E864FA" w:rsidTr="00612CB3">
        <w:tc>
          <w:tcPr>
            <w:tcW w:w="5122" w:type="dxa"/>
            <w:shd w:val="clear" w:color="auto" w:fill="auto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12CB3" w:rsidRPr="00E864FA" w:rsidTr="00612CB3">
        <w:tc>
          <w:tcPr>
            <w:tcW w:w="5122" w:type="dxa"/>
            <w:shd w:val="clear" w:color="auto" w:fill="auto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бюджета городского 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Вичуга на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CB3" w:rsidRPr="00E864FA" w:rsidRDefault="00E5617A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5731,5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12CB3" w:rsidRPr="00E864FA" w:rsidRDefault="00E5617A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5731,5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12CB3" w:rsidRPr="00E864FA" w:rsidRDefault="00E5617A" w:rsidP="00E5617A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5731,5</w:t>
            </w:r>
          </w:p>
        </w:tc>
      </w:tr>
      <w:tr w:rsidR="00612CB3" w:rsidRPr="00E864FA" w:rsidTr="00612CB3">
        <w:tc>
          <w:tcPr>
            <w:tcW w:w="5122" w:type="dxa"/>
            <w:shd w:val="clear" w:color="auto" w:fill="auto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бюджета городского 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Вичуга К</w:t>
            </w: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онтрольно - счетной комиссии городского 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Вичуга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2172,6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2172,6</w:t>
            </w:r>
          </w:p>
        </w:tc>
      </w:tr>
      <w:tr w:rsidR="00612CB3" w:rsidRPr="00E864FA" w:rsidTr="00612CB3">
        <w:tc>
          <w:tcPr>
            <w:tcW w:w="5122" w:type="dxa"/>
            <w:shd w:val="clear" w:color="auto" w:fill="auto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бюджета городского 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Вичуга</w:t>
            </w: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создание резервного фонда администрации городского 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Вичуга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864FA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</w:tr>
      <w:tr w:rsidR="00612CB3" w:rsidRPr="00E864FA" w:rsidTr="00612CB3">
        <w:tc>
          <w:tcPr>
            <w:tcW w:w="5122" w:type="dxa"/>
            <w:shd w:val="clear" w:color="auto" w:fill="auto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на проведение общегородских и ветеранских мероприятий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CB3" w:rsidRDefault="00612CB3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612CB3" w:rsidRPr="00E864FA" w:rsidTr="00612CB3">
        <w:tc>
          <w:tcPr>
            <w:tcW w:w="5122" w:type="dxa"/>
            <w:shd w:val="clear" w:color="auto" w:fill="auto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на обеспечение мероприятий по деятельности общественного совета городского округа Вичуга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CB3" w:rsidRDefault="00612CB3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612CB3" w:rsidRPr="00E864FA" w:rsidTr="00612CB3">
        <w:tc>
          <w:tcPr>
            <w:tcW w:w="5122" w:type="dxa"/>
            <w:shd w:val="clear" w:color="auto" w:fill="auto"/>
          </w:tcPr>
          <w:p w:rsidR="00612CB3" w:rsidRPr="00E864FA" w:rsidRDefault="00612CB3" w:rsidP="00612CB3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на выполнение наказов избирателей депутатами городской Думы городского округа Вичуга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CB3" w:rsidRDefault="00612CB3" w:rsidP="00742768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2CB3" w:rsidRPr="00E864FA" w:rsidTr="00612CB3">
        <w:tc>
          <w:tcPr>
            <w:tcW w:w="5122" w:type="dxa"/>
            <w:shd w:val="clear" w:color="auto" w:fill="auto"/>
          </w:tcPr>
          <w:p w:rsidR="00612CB3" w:rsidRDefault="00612CB3" w:rsidP="00612CB3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на выплату е</w:t>
            </w:r>
            <w:r w:rsidR="004C0FBA">
              <w:rPr>
                <w:rFonts w:ascii="Times New Roman" w:hAnsi="Times New Roman"/>
                <w:color w:val="000000"/>
                <w:sz w:val="24"/>
                <w:szCs w:val="24"/>
              </w:rPr>
              <w:t>жемесячного вознаграждения помощ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никам депутатов </w:t>
            </w:r>
            <w:r w:rsidR="004C0FBA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Думы городского округа Вичуга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CB3" w:rsidRDefault="004C0FBA" w:rsidP="004C0FBA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72 ,0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4C0FBA" w:rsidRPr="00E864FA" w:rsidTr="00612CB3">
        <w:tc>
          <w:tcPr>
            <w:tcW w:w="5122" w:type="dxa"/>
            <w:shd w:val="clear" w:color="auto" w:fill="auto"/>
          </w:tcPr>
          <w:p w:rsidR="004C0FBA" w:rsidRDefault="004C0FBA" w:rsidP="00612CB3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на материальное вознаграждение гражданам награжденным Почетной грамотой городской Думы городского округа Вичуга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C0FBA" w:rsidRDefault="004C0FBA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C0FBA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C0FBA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70,3</w:t>
            </w:r>
          </w:p>
        </w:tc>
      </w:tr>
      <w:tr w:rsidR="004C0FBA" w:rsidRPr="00E864FA" w:rsidTr="00612CB3">
        <w:tc>
          <w:tcPr>
            <w:tcW w:w="5122" w:type="dxa"/>
            <w:shd w:val="clear" w:color="auto" w:fill="auto"/>
          </w:tcPr>
          <w:p w:rsidR="004C0FBA" w:rsidRDefault="004C0FBA" w:rsidP="00612CB3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на проведение комплекса работ по межеванию и обследованию земель для постановки на государственный кадастровый учет земельных участков, на которых возникает право собственности городского округа Вичуга, либо земельных участков, которым распоряжается администрация городского округа Вичуга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C0FBA" w:rsidRDefault="004C0FBA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C0FBA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C0FBA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</w:tr>
      <w:tr w:rsidR="004C0FBA" w:rsidRPr="00E864FA" w:rsidTr="00612CB3">
        <w:tc>
          <w:tcPr>
            <w:tcW w:w="5122" w:type="dxa"/>
            <w:shd w:val="clear" w:color="auto" w:fill="auto"/>
          </w:tcPr>
          <w:p w:rsidR="004C0FBA" w:rsidRDefault="004C0FBA" w:rsidP="00612CB3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направления расходов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комплекса работ по инвентаризации, техническому обследованию, определению рыночной стоимости и регистрации права собственности на имущество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C0FBA" w:rsidRDefault="004C0FBA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1975,3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C0FBA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2125,3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C0FBA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2125,3</w:t>
            </w:r>
          </w:p>
        </w:tc>
      </w:tr>
      <w:tr w:rsidR="00742768" w:rsidRPr="00E864FA" w:rsidTr="00612CB3">
        <w:tc>
          <w:tcPr>
            <w:tcW w:w="5122" w:type="dxa"/>
            <w:shd w:val="clear" w:color="auto" w:fill="auto"/>
          </w:tcPr>
          <w:p w:rsidR="00742768" w:rsidRPr="004C0FBA" w:rsidRDefault="00742768" w:rsidP="00612CB3">
            <w:pPr>
              <w:pStyle w:val="aa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768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наказов избирателей депутатами Ивановской областной Думы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2768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42768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42768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2CB3" w:rsidRPr="00E864FA" w:rsidTr="00612CB3">
        <w:tc>
          <w:tcPr>
            <w:tcW w:w="5122" w:type="dxa"/>
            <w:shd w:val="clear" w:color="auto" w:fill="auto"/>
          </w:tcPr>
          <w:p w:rsidR="00612CB3" w:rsidRPr="00E864FA" w:rsidRDefault="00612CB3" w:rsidP="00612CB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64FA">
              <w:rPr>
                <w:b/>
                <w:color w:val="000000"/>
              </w:rPr>
              <w:t>Всего не программных расходов</w:t>
            </w:r>
          </w:p>
        </w:tc>
        <w:tc>
          <w:tcPr>
            <w:tcW w:w="1416" w:type="dxa"/>
            <w:shd w:val="clear" w:color="auto" w:fill="auto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22546,7</w:t>
            </w:r>
          </w:p>
        </w:tc>
        <w:tc>
          <w:tcPr>
            <w:tcW w:w="1585" w:type="dxa"/>
            <w:shd w:val="clear" w:color="auto" w:fill="auto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12396,7</w:t>
            </w:r>
          </w:p>
        </w:tc>
        <w:tc>
          <w:tcPr>
            <w:tcW w:w="1448" w:type="dxa"/>
            <w:shd w:val="clear" w:color="auto" w:fill="auto"/>
          </w:tcPr>
          <w:p w:rsidR="00612CB3" w:rsidRPr="00E864FA" w:rsidRDefault="00742768" w:rsidP="00612CB3">
            <w:pPr>
              <w:pStyle w:val="a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12396,7</w:t>
            </w:r>
          </w:p>
        </w:tc>
      </w:tr>
    </w:tbl>
    <w:p w:rsidR="00742768" w:rsidRDefault="00742768" w:rsidP="000416AC">
      <w:pPr>
        <w:rPr>
          <w:rFonts w:eastAsia="Calibri"/>
          <w:b/>
          <w:lang w:eastAsia="en-US"/>
        </w:rPr>
      </w:pPr>
    </w:p>
    <w:p w:rsidR="00E5617A" w:rsidRPr="00E5617A" w:rsidRDefault="00742768" w:rsidP="00E5617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E5617A">
        <w:rPr>
          <w:rFonts w:eastAsia="Calibri"/>
          <w:lang w:eastAsia="en-US"/>
        </w:rPr>
        <w:t>В расходах по направлению «Не программные направления деятельности органов местного самоуправления городского округа Вичуга» значительную часть</w:t>
      </w:r>
      <w:r w:rsidR="00E5617A" w:rsidRPr="00E5617A">
        <w:rPr>
          <w:rFonts w:eastAsia="Calibri"/>
          <w:lang w:eastAsia="en-US"/>
        </w:rPr>
        <w:t xml:space="preserve"> составляют средства на обеспечение деятельности следующих учреждений:</w:t>
      </w:r>
    </w:p>
    <w:p w:rsidR="00E5617A" w:rsidRPr="00E5617A" w:rsidRDefault="00E5617A" w:rsidP="003A6520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E5617A">
        <w:rPr>
          <w:rFonts w:eastAsia="Calibri"/>
          <w:lang w:eastAsia="en-US"/>
        </w:rPr>
        <w:t xml:space="preserve">Городская Дума городского округа Вичуга – </w:t>
      </w:r>
      <w:r w:rsidR="003A6520" w:rsidRPr="003A6520">
        <w:rPr>
          <w:rFonts w:eastAsia="Calibri"/>
          <w:lang w:eastAsia="en-US"/>
        </w:rPr>
        <w:t>5731,5</w:t>
      </w:r>
      <w:r w:rsidRPr="00E5617A">
        <w:rPr>
          <w:rFonts w:eastAsia="Calibri"/>
          <w:lang w:eastAsia="en-US"/>
        </w:rPr>
        <w:t>тыс. руб.</w:t>
      </w:r>
    </w:p>
    <w:p w:rsidR="00E5617A" w:rsidRPr="00E5617A" w:rsidRDefault="00E5617A" w:rsidP="00E5617A">
      <w:pPr>
        <w:jc w:val="both"/>
        <w:rPr>
          <w:rFonts w:eastAsia="Calibri"/>
          <w:lang w:eastAsia="en-US"/>
        </w:rPr>
      </w:pPr>
      <w:r w:rsidRPr="00E5617A">
        <w:rPr>
          <w:rFonts w:eastAsia="Calibri"/>
          <w:lang w:eastAsia="en-US"/>
        </w:rPr>
        <w:t>соответственно в 2015</w:t>
      </w:r>
      <w:r w:rsidR="00A45F9E">
        <w:rPr>
          <w:rFonts w:eastAsia="Calibri"/>
          <w:lang w:eastAsia="en-US"/>
        </w:rPr>
        <w:t>-</w:t>
      </w:r>
      <w:r w:rsidRPr="00E5617A">
        <w:rPr>
          <w:rFonts w:eastAsia="Calibri"/>
          <w:lang w:eastAsia="en-US"/>
        </w:rPr>
        <w:t>201</w:t>
      </w:r>
      <w:r w:rsidR="00A45F9E">
        <w:rPr>
          <w:rFonts w:eastAsia="Calibri"/>
          <w:lang w:eastAsia="en-US"/>
        </w:rPr>
        <w:t>7</w:t>
      </w:r>
      <w:r w:rsidRPr="00E5617A">
        <w:rPr>
          <w:rFonts w:eastAsia="Calibri"/>
          <w:lang w:eastAsia="en-US"/>
        </w:rPr>
        <w:t xml:space="preserve"> годах.</w:t>
      </w:r>
    </w:p>
    <w:p w:rsidR="00E5617A" w:rsidRDefault="00742768" w:rsidP="00E5617A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E5617A">
        <w:rPr>
          <w:rFonts w:eastAsia="Calibri"/>
          <w:lang w:eastAsia="en-US"/>
        </w:rPr>
        <w:t xml:space="preserve"> </w:t>
      </w:r>
      <w:r w:rsidR="00E5617A">
        <w:rPr>
          <w:rFonts w:eastAsia="Calibri"/>
          <w:lang w:eastAsia="en-US"/>
        </w:rPr>
        <w:t xml:space="preserve">Контрольно-счетная комиссия городского округа Вичуга  - 2172,6 тыс. руб. </w:t>
      </w:r>
    </w:p>
    <w:p w:rsidR="00742768" w:rsidRDefault="00E5617A" w:rsidP="00E5617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соответственно в 2015</w:t>
      </w:r>
      <w:r w:rsidR="00A45F9E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201</w:t>
      </w:r>
      <w:r w:rsidR="00A45F9E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годах.</w:t>
      </w:r>
    </w:p>
    <w:p w:rsidR="002E3A03" w:rsidRDefault="002E3A03" w:rsidP="00E5617A">
      <w:pPr>
        <w:jc w:val="both"/>
        <w:rPr>
          <w:rFonts w:eastAsia="Calibri"/>
          <w:lang w:eastAsia="en-US"/>
        </w:rPr>
      </w:pPr>
    </w:p>
    <w:p w:rsidR="00E5617A" w:rsidRDefault="00E5617A" w:rsidP="00E5617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Кроме того в составе не программных направлений предусмотрены бюджетные ассигнования на</w:t>
      </w:r>
      <w:r w:rsidRPr="00E5617A">
        <w:rPr>
          <w:rFonts w:eastAsia="Calibri"/>
          <w:lang w:eastAsia="en-US"/>
        </w:rPr>
        <w:t>:</w:t>
      </w:r>
    </w:p>
    <w:p w:rsidR="00E5617A" w:rsidRDefault="00E5617A" w:rsidP="00E5617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на создание резервного фонда администрации городского округа Вичуга</w:t>
      </w:r>
      <w:r w:rsidRPr="00E5617A">
        <w:rPr>
          <w:rFonts w:eastAsia="Calibri"/>
          <w:lang w:eastAsia="en-US"/>
        </w:rPr>
        <w:t>;</w:t>
      </w:r>
    </w:p>
    <w:p w:rsidR="00E5617A" w:rsidRPr="00E5617A" w:rsidRDefault="00E5617A" w:rsidP="00E5617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на выполнение наказов избирателей</w:t>
      </w:r>
      <w:r w:rsidR="000A52B5">
        <w:rPr>
          <w:rFonts w:eastAsia="Calibri"/>
          <w:lang w:eastAsia="en-US"/>
        </w:rPr>
        <w:t xml:space="preserve"> депутатами Ивановской областной Думы и депутатами городской Думы городского округа Вичуга.</w:t>
      </w:r>
    </w:p>
    <w:p w:rsidR="000416AC" w:rsidRDefault="000416AC" w:rsidP="00920B88">
      <w:pPr>
        <w:jc w:val="center"/>
        <w:rPr>
          <w:rFonts w:eastAsia="Calibri"/>
          <w:b/>
          <w:lang w:eastAsia="en-US"/>
        </w:rPr>
      </w:pPr>
    </w:p>
    <w:p w:rsidR="002E3A03" w:rsidRDefault="002E3A03" w:rsidP="00920B88">
      <w:pPr>
        <w:jc w:val="center"/>
        <w:rPr>
          <w:rFonts w:eastAsia="Calibri"/>
          <w:b/>
          <w:lang w:eastAsia="en-US"/>
        </w:rPr>
      </w:pPr>
    </w:p>
    <w:p w:rsidR="000A52B5" w:rsidRDefault="000A52B5" w:rsidP="000A52B5">
      <w:pPr>
        <w:ind w:firstLine="708"/>
        <w:jc w:val="center"/>
        <w:rPr>
          <w:rFonts w:eastAsia="Calibri"/>
          <w:b/>
          <w:lang w:eastAsia="en-US"/>
        </w:rPr>
      </w:pPr>
      <w:r w:rsidRPr="000A52B5">
        <w:rPr>
          <w:rFonts w:eastAsia="Calibri"/>
          <w:b/>
          <w:lang w:eastAsia="en-US"/>
        </w:rPr>
        <w:t xml:space="preserve">Резервный фонд Администрации городского округа </w:t>
      </w:r>
      <w:r>
        <w:rPr>
          <w:rFonts w:eastAsia="Calibri"/>
          <w:b/>
          <w:lang w:eastAsia="en-US"/>
        </w:rPr>
        <w:t>Вичуга</w:t>
      </w:r>
      <w:r w:rsidRPr="000A52B5">
        <w:rPr>
          <w:rFonts w:eastAsia="Calibri"/>
          <w:b/>
          <w:lang w:eastAsia="en-US"/>
        </w:rPr>
        <w:t>.</w:t>
      </w:r>
    </w:p>
    <w:p w:rsidR="000A52B5" w:rsidRPr="000A52B5" w:rsidRDefault="000A52B5" w:rsidP="00A5214B">
      <w:pPr>
        <w:rPr>
          <w:rFonts w:eastAsia="Calibri"/>
          <w:b/>
          <w:lang w:eastAsia="en-US"/>
        </w:rPr>
      </w:pPr>
    </w:p>
    <w:p w:rsidR="000A52B5" w:rsidRPr="000A52B5" w:rsidRDefault="000A52B5" w:rsidP="000A52B5">
      <w:pPr>
        <w:ind w:firstLine="708"/>
        <w:jc w:val="both"/>
        <w:rPr>
          <w:rFonts w:eastAsia="Calibri"/>
          <w:lang w:eastAsia="en-US"/>
        </w:rPr>
      </w:pPr>
      <w:r w:rsidRPr="000A52B5">
        <w:rPr>
          <w:rFonts w:eastAsia="Calibri"/>
          <w:lang w:eastAsia="en-US"/>
        </w:rPr>
        <w:t xml:space="preserve">Согласно пункту 4 Порядка расходования средств резервного фонда Администрации и городского округа </w:t>
      </w:r>
      <w:r>
        <w:rPr>
          <w:rFonts w:eastAsia="Calibri"/>
          <w:lang w:eastAsia="en-US"/>
        </w:rPr>
        <w:t>Вичуга,</w:t>
      </w:r>
      <w:r w:rsidRPr="000A52B5">
        <w:rPr>
          <w:rFonts w:eastAsia="Calibri"/>
          <w:lang w:eastAsia="en-US"/>
        </w:rPr>
        <w:t xml:space="preserve"> </w:t>
      </w:r>
      <w:r w:rsidRPr="00784960">
        <w:rPr>
          <w:rFonts w:eastAsia="Calibri"/>
          <w:lang w:eastAsia="en-US"/>
        </w:rPr>
        <w:t xml:space="preserve">утвержденного Постановлением администрации городского округа </w:t>
      </w:r>
      <w:r w:rsidR="00784960" w:rsidRPr="00784960">
        <w:rPr>
          <w:rFonts w:eastAsia="Calibri"/>
          <w:lang w:eastAsia="en-US"/>
        </w:rPr>
        <w:t>Вичуга</w:t>
      </w:r>
      <w:r w:rsidRPr="00784960">
        <w:rPr>
          <w:rFonts w:eastAsia="Calibri"/>
          <w:lang w:eastAsia="en-US"/>
        </w:rPr>
        <w:t xml:space="preserve"> от </w:t>
      </w:r>
      <w:r w:rsidR="00784960" w:rsidRPr="00784960">
        <w:rPr>
          <w:rFonts w:eastAsia="Calibri"/>
          <w:lang w:eastAsia="en-US"/>
        </w:rPr>
        <w:t>27</w:t>
      </w:r>
      <w:r w:rsidRPr="00784960">
        <w:rPr>
          <w:rFonts w:eastAsia="Calibri"/>
          <w:lang w:eastAsia="en-US"/>
        </w:rPr>
        <w:t>.</w:t>
      </w:r>
      <w:r w:rsidR="00784960" w:rsidRPr="00784960">
        <w:rPr>
          <w:rFonts w:eastAsia="Calibri"/>
          <w:lang w:eastAsia="en-US"/>
        </w:rPr>
        <w:t>06</w:t>
      </w:r>
      <w:r w:rsidRPr="00784960">
        <w:rPr>
          <w:rFonts w:eastAsia="Calibri"/>
          <w:lang w:eastAsia="en-US"/>
        </w:rPr>
        <w:t>.20</w:t>
      </w:r>
      <w:r w:rsidR="00784960" w:rsidRPr="00784960">
        <w:rPr>
          <w:rFonts w:eastAsia="Calibri"/>
          <w:lang w:eastAsia="en-US"/>
        </w:rPr>
        <w:t>13</w:t>
      </w:r>
      <w:r w:rsidRPr="00784960">
        <w:rPr>
          <w:rFonts w:eastAsia="Calibri"/>
          <w:lang w:eastAsia="en-US"/>
        </w:rPr>
        <w:t>г. №</w:t>
      </w:r>
      <w:r w:rsidR="00784960" w:rsidRPr="00784960">
        <w:rPr>
          <w:rFonts w:eastAsia="Calibri"/>
          <w:lang w:eastAsia="en-US"/>
        </w:rPr>
        <w:t>686</w:t>
      </w:r>
      <w:r w:rsidRPr="00784960">
        <w:rPr>
          <w:rFonts w:eastAsia="Calibri"/>
          <w:lang w:eastAsia="en-US"/>
        </w:rPr>
        <w:t xml:space="preserve">  «Об утверждении порядка расходования средств резервного фонда администрации городского округа </w:t>
      </w:r>
      <w:r w:rsidR="00784960" w:rsidRPr="00784960">
        <w:rPr>
          <w:rFonts w:eastAsia="Calibri"/>
          <w:lang w:eastAsia="en-US"/>
        </w:rPr>
        <w:t>Вичуга</w:t>
      </w:r>
      <w:r w:rsidRPr="00784960">
        <w:rPr>
          <w:rFonts w:eastAsia="Calibri"/>
          <w:lang w:eastAsia="en-US"/>
        </w:rPr>
        <w:t>»,</w:t>
      </w:r>
      <w:r w:rsidRPr="000A52B5">
        <w:rPr>
          <w:rFonts w:eastAsia="Calibri"/>
          <w:lang w:eastAsia="en-US"/>
        </w:rPr>
        <w:t xml:space="preserve">  резервный фонд Администрации городского округа </w:t>
      </w:r>
      <w:r>
        <w:rPr>
          <w:rFonts w:eastAsia="Calibri"/>
          <w:lang w:eastAsia="en-US"/>
        </w:rPr>
        <w:t>Вичуга</w:t>
      </w:r>
      <w:r w:rsidRPr="000A52B5">
        <w:rPr>
          <w:rFonts w:eastAsia="Calibri"/>
          <w:lang w:eastAsia="en-US"/>
        </w:rPr>
        <w:t xml:space="preserve"> (далее - резервный фонд) определяется решением о бюджете городского округа </w:t>
      </w:r>
      <w:r>
        <w:rPr>
          <w:rFonts w:eastAsia="Calibri"/>
          <w:lang w:eastAsia="en-US"/>
        </w:rPr>
        <w:t>Вичуга</w:t>
      </w:r>
      <w:r w:rsidRPr="000A52B5">
        <w:rPr>
          <w:rFonts w:eastAsia="Calibri"/>
          <w:lang w:eastAsia="en-US"/>
        </w:rPr>
        <w:t xml:space="preserve"> на соответствующий год, и не может превышать </w:t>
      </w:r>
      <w:r w:rsidRPr="00276F0A">
        <w:rPr>
          <w:rFonts w:eastAsia="Calibri"/>
          <w:lang w:eastAsia="en-US"/>
        </w:rPr>
        <w:t>3%</w:t>
      </w:r>
      <w:r w:rsidRPr="000A52B5">
        <w:rPr>
          <w:rFonts w:eastAsia="Calibri"/>
          <w:lang w:eastAsia="en-US"/>
        </w:rPr>
        <w:t xml:space="preserve"> утвержденного общего объема расходов. </w:t>
      </w:r>
    </w:p>
    <w:p w:rsidR="000A52B5" w:rsidRPr="000A52B5" w:rsidRDefault="000A52B5" w:rsidP="000A52B5">
      <w:pPr>
        <w:jc w:val="both"/>
        <w:rPr>
          <w:rFonts w:eastAsia="Calibri"/>
          <w:lang w:eastAsia="en-US"/>
        </w:rPr>
      </w:pPr>
      <w:r w:rsidRPr="000A52B5">
        <w:rPr>
          <w:rFonts w:eastAsia="Calibri"/>
          <w:lang w:eastAsia="en-US"/>
        </w:rPr>
        <w:t xml:space="preserve">При  этом  сумма средств на оказание единовременной материальной помощи проживающим на территории городского округа </w:t>
      </w:r>
      <w:r>
        <w:rPr>
          <w:rFonts w:eastAsia="Calibri"/>
          <w:lang w:eastAsia="en-US"/>
        </w:rPr>
        <w:t>Вичуга</w:t>
      </w:r>
      <w:r w:rsidRPr="000A52B5">
        <w:rPr>
          <w:rFonts w:eastAsia="Calibri"/>
          <w:lang w:eastAsia="en-US"/>
        </w:rPr>
        <w:t xml:space="preserve"> гражданам, пострадавшим от пожаров, в размере, установленном комиссией по чрезвычайным ситуациям.</w:t>
      </w:r>
    </w:p>
    <w:p w:rsidR="000A52B5" w:rsidRPr="000A52B5" w:rsidRDefault="000A52B5" w:rsidP="00276F0A">
      <w:pPr>
        <w:ind w:firstLine="708"/>
        <w:jc w:val="both"/>
        <w:rPr>
          <w:rFonts w:eastAsia="Calibri"/>
          <w:lang w:eastAsia="en-US"/>
        </w:rPr>
      </w:pPr>
      <w:r w:rsidRPr="000A52B5">
        <w:rPr>
          <w:rFonts w:eastAsia="Calibri"/>
          <w:lang w:eastAsia="en-US"/>
        </w:rPr>
        <w:t>Резервный фонд составил:</w:t>
      </w:r>
    </w:p>
    <w:p w:rsidR="000A52B5" w:rsidRPr="00276F0A" w:rsidRDefault="000A52B5" w:rsidP="000A52B5">
      <w:pPr>
        <w:jc w:val="both"/>
        <w:rPr>
          <w:rFonts w:eastAsia="Calibri"/>
          <w:lang w:eastAsia="en-US"/>
        </w:rPr>
      </w:pPr>
      <w:r w:rsidRPr="000A52B5">
        <w:rPr>
          <w:rFonts w:eastAsia="Calibri"/>
          <w:lang w:eastAsia="en-US"/>
        </w:rPr>
        <w:t>-2015год -</w:t>
      </w:r>
      <w:r>
        <w:rPr>
          <w:rFonts w:eastAsia="Calibri"/>
          <w:lang w:eastAsia="en-US"/>
        </w:rPr>
        <w:t>1</w:t>
      </w:r>
      <w:r w:rsidRPr="000A52B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</w:t>
      </w:r>
      <w:r w:rsidRPr="000A52B5">
        <w:rPr>
          <w:rFonts w:eastAsia="Calibri"/>
          <w:lang w:eastAsia="en-US"/>
        </w:rPr>
        <w:t xml:space="preserve">00,0 тыс. руб. или  </w:t>
      </w:r>
      <w:r w:rsidRPr="00276F0A">
        <w:rPr>
          <w:rFonts w:eastAsia="Calibri"/>
          <w:lang w:eastAsia="en-US"/>
        </w:rPr>
        <w:t>0,</w:t>
      </w:r>
      <w:r w:rsidR="00276F0A" w:rsidRPr="00276F0A">
        <w:rPr>
          <w:rFonts w:eastAsia="Calibri"/>
          <w:lang w:eastAsia="en-US"/>
        </w:rPr>
        <w:t>23</w:t>
      </w:r>
      <w:r w:rsidRPr="00276F0A">
        <w:rPr>
          <w:rFonts w:eastAsia="Calibri"/>
          <w:lang w:eastAsia="en-US"/>
        </w:rPr>
        <w:t>% от общего объема расходов,</w:t>
      </w:r>
    </w:p>
    <w:p w:rsidR="000A52B5" w:rsidRPr="00276F0A" w:rsidRDefault="000A52B5" w:rsidP="000A52B5">
      <w:pPr>
        <w:jc w:val="both"/>
        <w:rPr>
          <w:rFonts w:eastAsia="Calibri"/>
          <w:lang w:eastAsia="en-US"/>
        </w:rPr>
      </w:pPr>
      <w:r w:rsidRPr="00276F0A">
        <w:rPr>
          <w:rFonts w:eastAsia="Calibri"/>
          <w:lang w:eastAsia="en-US"/>
        </w:rPr>
        <w:t xml:space="preserve">-2016год -1 100,0 тыс. руб. или    </w:t>
      </w:r>
      <w:r w:rsidR="00276F0A" w:rsidRPr="00276F0A">
        <w:rPr>
          <w:rFonts w:eastAsia="Calibri"/>
          <w:lang w:eastAsia="en-US"/>
        </w:rPr>
        <w:t>0,25</w:t>
      </w:r>
      <w:r w:rsidRPr="00276F0A">
        <w:rPr>
          <w:rFonts w:eastAsia="Calibri"/>
          <w:lang w:eastAsia="en-US"/>
        </w:rPr>
        <w:t>% от общего объема расходов,</w:t>
      </w:r>
    </w:p>
    <w:p w:rsidR="000A52B5" w:rsidRPr="000A52B5" w:rsidRDefault="000A52B5" w:rsidP="000A52B5">
      <w:pPr>
        <w:jc w:val="both"/>
        <w:rPr>
          <w:rFonts w:eastAsia="Calibri"/>
          <w:lang w:eastAsia="en-US"/>
        </w:rPr>
      </w:pPr>
      <w:r w:rsidRPr="00276F0A">
        <w:rPr>
          <w:rFonts w:eastAsia="Calibri"/>
          <w:lang w:eastAsia="en-US"/>
        </w:rPr>
        <w:t>-2017год -1 100,0 тыс. руб. 0,</w:t>
      </w:r>
      <w:r w:rsidR="00276F0A" w:rsidRPr="00276F0A">
        <w:rPr>
          <w:rFonts w:eastAsia="Calibri"/>
          <w:lang w:eastAsia="en-US"/>
        </w:rPr>
        <w:t>25</w:t>
      </w:r>
      <w:r w:rsidRPr="00276F0A">
        <w:rPr>
          <w:rFonts w:eastAsia="Calibri"/>
          <w:lang w:eastAsia="en-US"/>
        </w:rPr>
        <w:t>% или от общего объема расходов</w:t>
      </w:r>
      <w:r w:rsidRPr="000A52B5">
        <w:rPr>
          <w:rFonts w:eastAsia="Calibri"/>
          <w:lang w:eastAsia="en-US"/>
        </w:rPr>
        <w:t>.</w:t>
      </w:r>
    </w:p>
    <w:p w:rsidR="000A52B5" w:rsidRPr="000A52B5" w:rsidRDefault="000A52B5" w:rsidP="00C82318">
      <w:pPr>
        <w:ind w:firstLine="708"/>
        <w:jc w:val="both"/>
        <w:rPr>
          <w:rFonts w:eastAsia="Calibri"/>
          <w:lang w:eastAsia="en-US"/>
        </w:rPr>
      </w:pPr>
      <w:r w:rsidRPr="000A52B5">
        <w:rPr>
          <w:rFonts w:eastAsia="Calibri"/>
          <w:lang w:eastAsia="en-US"/>
        </w:rPr>
        <w:t xml:space="preserve">Часть 3 стать 81 БК РФ устанавливает, что  размер резервных фондов  исполнительных органов  местных администраций  устанавливается решениями о соответствующих бюджетах и не может превышать 3 процента утвержденного указанными решениями общего объема расходов. </w:t>
      </w:r>
    </w:p>
    <w:p w:rsidR="00742768" w:rsidRPr="000A52B5" w:rsidRDefault="000A52B5" w:rsidP="00C82318">
      <w:pPr>
        <w:ind w:firstLine="708"/>
        <w:jc w:val="both"/>
        <w:rPr>
          <w:rFonts w:eastAsia="Calibri"/>
          <w:lang w:eastAsia="en-US"/>
        </w:rPr>
      </w:pPr>
      <w:r w:rsidRPr="000A52B5">
        <w:rPr>
          <w:rFonts w:eastAsia="Calibri"/>
          <w:lang w:eastAsia="en-US"/>
        </w:rPr>
        <w:t xml:space="preserve">Таким образом, резервный фонд Администрации городского округа </w:t>
      </w:r>
      <w:r>
        <w:rPr>
          <w:rFonts w:eastAsia="Calibri"/>
          <w:lang w:eastAsia="en-US"/>
        </w:rPr>
        <w:t>Вичуга</w:t>
      </w:r>
      <w:r w:rsidRPr="000A52B5">
        <w:rPr>
          <w:rFonts w:eastAsia="Calibri"/>
          <w:lang w:eastAsia="en-US"/>
        </w:rPr>
        <w:t xml:space="preserve"> на 2015 год и плановый период 2016 и 2017 годов установлен в соответствии с нормами части 3 статьи 81 БК РФ и Порядком расходования  средств резервного фонда Администрации городского округа </w:t>
      </w:r>
      <w:r>
        <w:rPr>
          <w:rFonts w:eastAsia="Calibri"/>
          <w:lang w:eastAsia="en-US"/>
        </w:rPr>
        <w:t>Вичуга</w:t>
      </w:r>
      <w:r w:rsidRPr="000A52B5">
        <w:rPr>
          <w:rFonts w:eastAsia="Calibri"/>
          <w:lang w:eastAsia="en-US"/>
        </w:rPr>
        <w:t>.</w:t>
      </w:r>
    </w:p>
    <w:p w:rsidR="00742768" w:rsidRDefault="00742768" w:rsidP="00920B88">
      <w:pPr>
        <w:jc w:val="center"/>
        <w:rPr>
          <w:rFonts w:eastAsia="Calibri"/>
          <w:b/>
          <w:lang w:eastAsia="en-US"/>
        </w:rPr>
      </w:pPr>
    </w:p>
    <w:p w:rsidR="002E3A03" w:rsidRDefault="002E3A03" w:rsidP="00920B88">
      <w:pPr>
        <w:jc w:val="center"/>
        <w:rPr>
          <w:rFonts w:eastAsia="Calibri"/>
          <w:b/>
          <w:lang w:eastAsia="en-US"/>
        </w:rPr>
      </w:pPr>
    </w:p>
    <w:p w:rsidR="000A52B5" w:rsidRDefault="00F33B21" w:rsidP="000416AC">
      <w:pPr>
        <w:jc w:val="center"/>
        <w:rPr>
          <w:rFonts w:eastAsia="Calibri"/>
          <w:b/>
          <w:lang w:eastAsia="en-US"/>
        </w:rPr>
      </w:pPr>
      <w:r w:rsidRPr="00F33B21">
        <w:rPr>
          <w:rFonts w:eastAsia="Calibri"/>
          <w:b/>
          <w:lang w:eastAsia="en-US"/>
        </w:rPr>
        <w:lastRenderedPageBreak/>
        <w:t>Анализ муниципальных программ городского округа Вичуга на 2015 год и на плановый период 2016-2017 годов</w:t>
      </w:r>
    </w:p>
    <w:p w:rsidR="000416AC" w:rsidRDefault="000416AC" w:rsidP="000416AC">
      <w:pPr>
        <w:jc w:val="center"/>
        <w:rPr>
          <w:rFonts w:eastAsia="Calibri"/>
          <w:b/>
          <w:lang w:eastAsia="en-US"/>
        </w:rPr>
      </w:pPr>
    </w:p>
    <w:p w:rsidR="000A52B5" w:rsidRPr="00EB5A0A" w:rsidRDefault="000A52B5" w:rsidP="000A52B5">
      <w:pPr>
        <w:ind w:firstLine="708"/>
        <w:jc w:val="both"/>
      </w:pPr>
      <w:r w:rsidRPr="00EB5A0A">
        <w:t>В соответствии с принятыми в 2013 году изменениями в БК РФ Проект решения  впервые  сформирован в программной структуре расходов на основе муниципальных программ  городского округа Вичуга (далее – муниципальные программы).</w:t>
      </w:r>
    </w:p>
    <w:p w:rsidR="000A52B5" w:rsidRPr="003E36EF" w:rsidRDefault="000A52B5" w:rsidP="000A52B5">
      <w:pPr>
        <w:ind w:firstLine="708"/>
        <w:jc w:val="both"/>
        <w:rPr>
          <w:b/>
        </w:rPr>
      </w:pPr>
      <w:r w:rsidRPr="00EB5A0A">
        <w:t xml:space="preserve">Перечень муниципальных программ, утвержденный  постановлением  администрации городского округа Вичуга от 18.10.2013 года  №1113  «Об утверждении перечня муниципальных программ городского округа </w:t>
      </w:r>
      <w:r w:rsidR="00A5214B" w:rsidRPr="00EB5A0A">
        <w:t>Вичуга</w:t>
      </w:r>
      <w:r w:rsidRPr="00EB5A0A">
        <w:t>», содержит 11-ть (</w:t>
      </w:r>
      <w:r w:rsidR="00EB56C1">
        <w:t>одиннадцать</w:t>
      </w:r>
      <w:r w:rsidRPr="00EB5A0A">
        <w:t xml:space="preserve">) муниципальных программ. </w:t>
      </w:r>
      <w:r w:rsidR="00E56132">
        <w:t>В Перечень не включены программы «Благоустройство городского округа Вичуга» и «Развитие транспортной системы в городском округе Вичуга».</w:t>
      </w:r>
      <w:r w:rsidR="003E36EF">
        <w:t xml:space="preserve"> </w:t>
      </w:r>
      <w:r w:rsidR="003E36EF" w:rsidRPr="003E36EF">
        <w:rPr>
          <w:b/>
        </w:rPr>
        <w:t>Контрольно-счетная комиссия предлагает привести данный Перечень в соответствие с проектом бюджета.</w:t>
      </w:r>
    </w:p>
    <w:p w:rsidR="000A52B5" w:rsidRPr="00EB5A0A" w:rsidRDefault="000A52B5" w:rsidP="000A52B5">
      <w:pPr>
        <w:ind w:firstLine="709"/>
        <w:contextualSpacing/>
        <w:jc w:val="both"/>
        <w:rPr>
          <w:rFonts w:eastAsia="Calibri"/>
          <w:lang w:eastAsia="en-US"/>
        </w:rPr>
      </w:pPr>
      <w:r w:rsidRPr="00EB5A0A">
        <w:rPr>
          <w:rFonts w:eastAsia="Calibri"/>
          <w:lang w:eastAsia="en-US"/>
        </w:rPr>
        <w:t>В  приложении № 8 и 9 к Проекту решения  отражено   распределение бюджетных ассигнований по разделам, подразделам и целевым статьям муниципальных программ и не программным направлениям деятельности, группам видам расходов классификации расходов бюджета городского округа Вичуга  на 2015 год и плановый период 2016 и 2017 годов.</w:t>
      </w:r>
    </w:p>
    <w:p w:rsidR="000A52B5" w:rsidRPr="00D47FEF" w:rsidRDefault="000A52B5" w:rsidP="000416AC">
      <w:pPr>
        <w:ind w:firstLine="708"/>
        <w:jc w:val="both"/>
      </w:pPr>
      <w:r w:rsidRPr="00EB5A0A">
        <w:t>Проект решения  планирует финансирование 13-ти (тринадцати) муниципальных программ   с общим  объемом расходов муниципальных программ в 2015, 2016 и 2017 годах  соответственно составляют</w:t>
      </w:r>
      <w:r w:rsidRPr="006A2676">
        <w:rPr>
          <w:sz w:val="28"/>
          <w:szCs w:val="28"/>
        </w:rPr>
        <w:t xml:space="preserve">  </w:t>
      </w:r>
      <w:r w:rsidR="003C6C97" w:rsidRPr="00D47FEF">
        <w:t>436517,897</w:t>
      </w:r>
      <w:r w:rsidRPr="00D47FEF">
        <w:t xml:space="preserve"> тыс. руб.; </w:t>
      </w:r>
      <w:r w:rsidR="003C6C97" w:rsidRPr="00D47FEF">
        <w:t>415517,580</w:t>
      </w:r>
      <w:r w:rsidRPr="00D47FEF">
        <w:t xml:space="preserve"> тыс. руб.; </w:t>
      </w:r>
      <w:r w:rsidR="003C6C97" w:rsidRPr="00D47FEF">
        <w:t>406301,067</w:t>
      </w:r>
      <w:r w:rsidRPr="00D47FEF">
        <w:t xml:space="preserve"> тыс. руб. </w:t>
      </w:r>
    </w:p>
    <w:p w:rsidR="000A52B5" w:rsidRPr="006A2676" w:rsidRDefault="000A52B5" w:rsidP="000416AC">
      <w:pPr>
        <w:ind w:firstLine="708"/>
        <w:jc w:val="right"/>
      </w:pPr>
      <w:r w:rsidRPr="00721136">
        <w:t>Таблица</w:t>
      </w:r>
      <w:r w:rsidR="00721136">
        <w:t xml:space="preserve"> 7</w:t>
      </w:r>
      <w:r>
        <w:t xml:space="preserve"> (в руб.)</w:t>
      </w:r>
    </w:p>
    <w:tbl>
      <w:tblPr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418"/>
        <w:gridCol w:w="992"/>
        <w:gridCol w:w="1559"/>
        <w:gridCol w:w="993"/>
        <w:gridCol w:w="1559"/>
        <w:gridCol w:w="992"/>
      </w:tblGrid>
      <w:tr w:rsidR="000A52B5" w:rsidRPr="000416AC" w:rsidTr="00FE3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№</w:t>
            </w:r>
          </w:p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2017 год</w:t>
            </w:r>
          </w:p>
        </w:tc>
      </w:tr>
      <w:tr w:rsidR="000A52B5" w:rsidRPr="000416AC" w:rsidTr="000416AC">
        <w:trPr>
          <w:trHeight w:val="1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% в общей сумме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% в общей сумме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416AC">
              <w:rPr>
                <w:b/>
                <w:color w:val="000000"/>
                <w:sz w:val="18"/>
                <w:szCs w:val="18"/>
              </w:rPr>
              <w:t>% в общей сумме расходов</w:t>
            </w:r>
          </w:p>
        </w:tc>
      </w:tr>
      <w:tr w:rsidR="000A52B5" w:rsidRPr="000416AC" w:rsidTr="00FE339D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Муниципальные программы,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436517897,0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415517580,0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406301067,0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0A52B5" w:rsidRPr="000416AC" w:rsidTr="00FE3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Развитие системы образования городского округа Вичуга (13-ть подпрограмм)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291 816 508,0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268 812 136,0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258 984 559,0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0A52B5" w:rsidRPr="000416AC" w:rsidTr="00FE3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Развитие  культуры городского округа Вичуга (5-ть подпрограмм)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31 786 700,0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29 819 900,0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27 3950 00,0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6,55</w:t>
            </w:r>
          </w:p>
        </w:tc>
      </w:tr>
      <w:tr w:rsidR="000A52B5" w:rsidRPr="000416AC" w:rsidTr="00FE339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Развитие физической культуры и спорта в городском округе Вичуга (2-ве 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10 665 700,0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10 665 700,0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10 665 700,0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A52B5" w:rsidRPr="000416AC" w:rsidTr="00FE3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Социальная поддержка населения городского округа Вичуга (4-ре подпрограмм)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3 473 100,0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0,75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3 473 100,0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0,8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3 473 100,0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0,8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A52B5" w:rsidRPr="000416AC" w:rsidTr="00FE339D">
        <w:trPr>
          <w:trHeight w:val="2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Обеспечение доступным комфортным жильем, объектами инженерной инфраструктуры и   услугами жилищно-коммунального хозяйства населения городского округа Вичуга (6-ть 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14 869 289,0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 xml:space="preserve"> </w:t>
            </w:r>
            <w:r w:rsidR="001D4E36" w:rsidRPr="000416A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17 605 325,0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22 221 826,0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0A52B5" w:rsidRPr="000416AC" w:rsidTr="00FE3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Развитие транспортной системы в городском округе Вичуга (3-ри 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19 579 046,0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21 121 490,0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19 657 653,0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4,7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A52B5" w:rsidRPr="000416AC" w:rsidTr="00FE3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1.7</w:t>
            </w:r>
            <w:r w:rsidR="000416AC" w:rsidRPr="000416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Экономическое развитие и инновационная экономика городского округа Вичуга (2-е 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1 415 000,0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0,3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1 415 000,0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 xml:space="preserve"> </w:t>
            </w:r>
            <w:r w:rsidR="001D4E36" w:rsidRPr="000416A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1 415 000,0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0,3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A52B5" w:rsidRPr="000416AC" w:rsidTr="00FE339D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Обеспечение безопасности населения городского округа Вичуга (2-е 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2 394 200,0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 xml:space="preserve"> </w:t>
            </w:r>
            <w:r w:rsidR="001D4E36" w:rsidRPr="000416A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2 394 200,0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0,55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2 394 200,0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0,6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A52B5" w:rsidRPr="000416AC" w:rsidTr="00FE3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</w:t>
            </w:r>
            <w:r w:rsidRPr="000416AC">
              <w:rPr>
                <w:color w:val="000000"/>
                <w:sz w:val="20"/>
                <w:szCs w:val="20"/>
                <w:highlight w:val="lightGray"/>
              </w:rPr>
              <w:t>.</w:t>
            </w:r>
            <w:r w:rsidRPr="000416A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Долгосрочная сбалансированность и устойчивость бюджетной системы (3-ри 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0,05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200 000,0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0,05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0A52B5" w:rsidRPr="000416AC" w:rsidTr="00FE3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Совершенствование системы местного самоуправления городского округа Вичуга (2-е 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39 864 029,0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 xml:space="preserve"> </w:t>
            </w:r>
            <w:r w:rsidR="001D4E36" w:rsidRPr="000416AC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39 709 029,0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9,3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39 592  329,0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9,5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A52B5" w:rsidRPr="000416AC" w:rsidTr="00FE339D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Благоустройство городского округа Вичуга (3-ри 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 xml:space="preserve">16 543 125,0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3,6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16 460 500,0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3,8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16 460 500,0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3,9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A52B5" w:rsidRPr="000416AC" w:rsidTr="00FE3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Повышение эффективности реализации молодежной политики и средств массовой информации в городском округе Вичуга (2-е 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1 370 400,0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 xml:space="preserve"> </w:t>
            </w:r>
            <w:r w:rsidR="001D4E36" w:rsidRPr="000416A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1 300 400,0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1D4E3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0,3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1 300 400,0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 xml:space="preserve"> </w:t>
            </w:r>
            <w:r w:rsidR="001D4E36" w:rsidRPr="000416A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A52B5" w:rsidRPr="000416AC" w:rsidTr="00FE3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Содействие занятости населения городского округа Вичуга (2-е 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2 540 800,0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 xml:space="preserve"> </w:t>
            </w:r>
            <w:r w:rsidR="00F02DF6" w:rsidRPr="000416A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2 540 800,0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F02DF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0,6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2 540 800,0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F02DF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16AC">
              <w:rPr>
                <w:color w:val="000000"/>
                <w:sz w:val="20"/>
                <w:szCs w:val="20"/>
              </w:rPr>
              <w:t>0,6</w:t>
            </w:r>
            <w:r w:rsidR="000A52B5" w:rsidRPr="000416A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A52B5" w:rsidRPr="000416AC" w:rsidTr="00FE3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3423D6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Не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22 546 700,0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F02DF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12 396 700,0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F02DF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12 396 700,0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F02DF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0A52B5" w:rsidRPr="000416AC" w:rsidTr="00FE339D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3423D6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3</w:t>
            </w:r>
            <w:r w:rsidR="000A52B5" w:rsidRPr="000416A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ВСЕГО  расходы (без учета условно утвержденных расходов)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0A52B5" w:rsidP="00FE339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423D6" w:rsidRPr="000416AC">
              <w:rPr>
                <w:b/>
                <w:color w:val="000000"/>
                <w:sz w:val="20"/>
                <w:szCs w:val="20"/>
              </w:rPr>
              <w:t>459064597,0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3423D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3423D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427914280,0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3423D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3423D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418697767,0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B5" w:rsidRPr="000416AC" w:rsidRDefault="003423D6" w:rsidP="00FE33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416AC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0A52B5" w:rsidRDefault="000A52B5" w:rsidP="000A52B5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0A52B5" w:rsidRPr="00EB5A0A" w:rsidRDefault="000A52B5" w:rsidP="000A52B5">
      <w:pPr>
        <w:spacing w:after="200" w:line="276" w:lineRule="auto"/>
        <w:ind w:firstLine="708"/>
        <w:jc w:val="both"/>
        <w:rPr>
          <w:b/>
        </w:rPr>
      </w:pPr>
      <w:r w:rsidRPr="00EB5A0A">
        <w:lastRenderedPageBreak/>
        <w:t>Как видно из таблицы</w:t>
      </w:r>
      <w:r w:rsidR="00EB5A0A" w:rsidRPr="00EB5A0A">
        <w:t xml:space="preserve"> 7</w:t>
      </w:r>
      <w:r w:rsidRPr="00EB5A0A">
        <w:t xml:space="preserve">, расходы на реализацию муниципальных программ в общем объеме расходов бюджета городского округа Вичуга в 2015, 2016 и 2017 годах составляют соответственно </w:t>
      </w:r>
      <w:r w:rsidRPr="00EB5A0A">
        <w:rPr>
          <w:b/>
        </w:rPr>
        <w:t>95,1%;  97,1%;  97,0%.</w:t>
      </w:r>
    </w:p>
    <w:p w:rsidR="000A52B5" w:rsidRDefault="000A52B5" w:rsidP="000A52B5">
      <w:pPr>
        <w:ind w:firstLine="708"/>
        <w:jc w:val="both"/>
      </w:pPr>
      <w:r w:rsidRPr="003C7328">
        <w:t>Программная структура расходов бюджета городского округа Вичуга на 2015 год и плановый период 2016 и 2017 годов предоставлена на</w:t>
      </w:r>
      <w:r w:rsidRPr="006A2676">
        <w:t xml:space="preserve"> </w:t>
      </w:r>
      <w:r w:rsidR="000D1199" w:rsidRPr="003C2626">
        <w:t>Д</w:t>
      </w:r>
      <w:r w:rsidRPr="003C2626">
        <w:t>иаграмм</w:t>
      </w:r>
      <w:r w:rsidR="000D1199">
        <w:t>е 5</w:t>
      </w:r>
      <w:r w:rsidRPr="006A2676">
        <w:t xml:space="preserve"> </w:t>
      </w:r>
      <w:r w:rsidRPr="003C7328">
        <w:t>ниже:</w:t>
      </w:r>
    </w:p>
    <w:p w:rsidR="000416AC" w:rsidRDefault="000416AC" w:rsidP="002E3A03">
      <w:pPr>
        <w:jc w:val="both"/>
      </w:pPr>
    </w:p>
    <w:p w:rsidR="000D1199" w:rsidRDefault="000D1199" w:rsidP="002E3A03">
      <w:pPr>
        <w:ind w:firstLine="708"/>
        <w:jc w:val="right"/>
      </w:pPr>
      <w:r>
        <w:t xml:space="preserve">Диаграмма 5 </w:t>
      </w:r>
    </w:p>
    <w:p w:rsidR="000D1199" w:rsidRDefault="000D1199" w:rsidP="000D1199">
      <w:pPr>
        <w:ind w:firstLine="708"/>
        <w:jc w:val="center"/>
      </w:pPr>
    </w:p>
    <w:p w:rsidR="000D1199" w:rsidRPr="000D1199" w:rsidRDefault="000D1199" w:rsidP="000D1199">
      <w:pPr>
        <w:ind w:firstLine="708"/>
        <w:jc w:val="center"/>
        <w:rPr>
          <w:b/>
        </w:rPr>
      </w:pPr>
      <w:r w:rsidRPr="000D1199">
        <w:rPr>
          <w:b/>
        </w:rPr>
        <w:t>Программная структура расходов бюджета на 2015-2017 годы (млн. руб.)</w:t>
      </w:r>
    </w:p>
    <w:p w:rsidR="000D1199" w:rsidRDefault="000D1199" w:rsidP="000A52B5">
      <w:pPr>
        <w:ind w:firstLine="708"/>
        <w:jc w:val="both"/>
      </w:pPr>
    </w:p>
    <w:p w:rsidR="000D1199" w:rsidRDefault="00AD0936" w:rsidP="000A52B5">
      <w:pPr>
        <w:ind w:firstLine="708"/>
        <w:jc w:val="both"/>
      </w:pPr>
      <w:r>
        <w:rPr>
          <w:noProof/>
        </w:rPr>
        <w:drawing>
          <wp:inline distT="0" distB="0" distL="0" distR="0">
            <wp:extent cx="4772025" cy="20097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1199" w:rsidRPr="003C7328" w:rsidRDefault="000D1199" w:rsidP="000A52B5">
      <w:pPr>
        <w:ind w:firstLine="708"/>
        <w:jc w:val="both"/>
        <w:rPr>
          <w:b/>
        </w:rPr>
      </w:pPr>
    </w:p>
    <w:p w:rsidR="000A52B5" w:rsidRPr="003C7328" w:rsidRDefault="000A52B5" w:rsidP="003E36EF">
      <w:pPr>
        <w:ind w:firstLine="708"/>
        <w:jc w:val="both"/>
      </w:pPr>
      <w:r w:rsidRPr="003C7328">
        <w:t xml:space="preserve">Муниципальные программы реализуются посредствам 49-и (сорока девяти) подпрограмм. </w:t>
      </w:r>
    </w:p>
    <w:p w:rsidR="000A52B5" w:rsidRPr="006A2676" w:rsidRDefault="000A52B5" w:rsidP="003E36EF">
      <w:pPr>
        <w:ind w:firstLine="708"/>
        <w:jc w:val="both"/>
      </w:pPr>
      <w:r w:rsidRPr="003C7328">
        <w:t>Анализ</w:t>
      </w:r>
      <w:r w:rsidRPr="003C7328">
        <w:rPr>
          <w:b/>
        </w:rPr>
        <w:t xml:space="preserve"> </w:t>
      </w:r>
      <w:r w:rsidRPr="003C7328">
        <w:t xml:space="preserve">объемов бюджетных ассигнований Проекта решения  и паспортов </w:t>
      </w:r>
      <w:r w:rsidR="00EB56C1">
        <w:t>муниципальных программ отклонений не выявил.</w:t>
      </w:r>
    </w:p>
    <w:p w:rsidR="000A52B5" w:rsidRPr="00F7130F" w:rsidRDefault="000A52B5" w:rsidP="003E36EF">
      <w:pPr>
        <w:ind w:firstLine="708"/>
        <w:jc w:val="both"/>
      </w:pPr>
      <w:r w:rsidRPr="00F7130F">
        <w:t>Методика оценки эффективности муниципальных программ городского округа Вичуга, в соответствии с постановлением администрации городского округа Вичуга от  05.09..2013г. №  943, утверждена постановлением администрации городского округа Вичуга 04.10.2013 года № 1048.</w:t>
      </w:r>
    </w:p>
    <w:p w:rsidR="000A52B5" w:rsidRPr="00F7130F" w:rsidRDefault="000A52B5" w:rsidP="000A52B5">
      <w:pPr>
        <w:ind w:firstLine="708"/>
        <w:jc w:val="both"/>
      </w:pPr>
      <w:r w:rsidRPr="00F7130F">
        <w:t>Согласно пункту 4 статьи 21 БК РФ целевые статьи расходов Проекта решения   сформированы в соответствии с муниципальными программами.</w:t>
      </w:r>
    </w:p>
    <w:p w:rsidR="000A52B5" w:rsidRPr="00F7130F" w:rsidRDefault="000A52B5" w:rsidP="000A52B5">
      <w:pPr>
        <w:ind w:firstLine="708"/>
        <w:jc w:val="both"/>
      </w:pPr>
      <w:r w:rsidRPr="002138FC">
        <w:t xml:space="preserve">Одновременно с Проектом решения   представлены паспорта 13-ти </w:t>
      </w:r>
      <w:r w:rsidRPr="00F7130F">
        <w:t>(</w:t>
      </w:r>
      <w:r w:rsidR="00F7130F" w:rsidRPr="00F7130F">
        <w:t>тринадцати</w:t>
      </w:r>
      <w:r w:rsidRPr="00F7130F">
        <w:t>)  муниципальных программ. Все предусмотренные муниципальные программы Проектом решения  утверждены нормативно-правовым актом Администрации городского округа Вичуга.</w:t>
      </w:r>
    </w:p>
    <w:p w:rsidR="000A52B5" w:rsidRPr="00F7130F" w:rsidRDefault="000A52B5" w:rsidP="000A52B5">
      <w:pPr>
        <w:ind w:firstLine="708"/>
        <w:jc w:val="both"/>
      </w:pPr>
      <w:r w:rsidRPr="00F7130F">
        <w:t>Анализ  исполнения утвержденного «Порядка составления проекта бюджета городского округа Вичуга  на очередной финансовый год и плановый период» показал, что все программы утверждены в соответствии с  Порядком,  определяющим сроки утверждения новых муниципальных программ и изменения в действующие (до 25 октября постановления администрации городского округа Вичуга).</w:t>
      </w:r>
    </w:p>
    <w:p w:rsidR="000A52B5" w:rsidRPr="006A2676" w:rsidRDefault="000A52B5" w:rsidP="000A52B5">
      <w:pPr>
        <w:spacing w:line="276" w:lineRule="auto"/>
        <w:ind w:firstLine="708"/>
        <w:jc w:val="both"/>
        <w:rPr>
          <w:b/>
        </w:rPr>
      </w:pPr>
      <w:r w:rsidRPr="00F7130F">
        <w:rPr>
          <w:b/>
        </w:rPr>
        <w:t>Таким образом, формирование бюджета городского округа Вичуга на 2015-2017 годы произведено в соответствии с пунктом 2 статьи 179 БК РФ, который устанавливает, что объем бюджетных ассигнований на финансовое обеспечение реализации муниципальных программ утверждается  решением о бюджете  в соответствии с утвердившим программу муниципальным правовым актом местной администрации муниципального образования.</w:t>
      </w:r>
      <w:r w:rsidRPr="006A2676">
        <w:rPr>
          <w:b/>
        </w:rPr>
        <w:t xml:space="preserve"> </w:t>
      </w:r>
    </w:p>
    <w:p w:rsidR="000A52B5" w:rsidRDefault="000A52B5" w:rsidP="000A52B5">
      <w:pPr>
        <w:rPr>
          <w:rFonts w:eastAsia="Calibri"/>
          <w:b/>
          <w:lang w:eastAsia="en-US"/>
        </w:rPr>
      </w:pPr>
    </w:p>
    <w:p w:rsidR="000A52B5" w:rsidRDefault="000A52B5" w:rsidP="000A52B5">
      <w:pPr>
        <w:rPr>
          <w:rFonts w:eastAsia="Calibri"/>
          <w:b/>
          <w:lang w:eastAsia="en-US"/>
        </w:rPr>
      </w:pPr>
    </w:p>
    <w:p w:rsidR="000A52B5" w:rsidRDefault="000A52B5" w:rsidP="000A52B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Основные выводы по разделу</w:t>
      </w:r>
      <w:r>
        <w:rPr>
          <w:rFonts w:eastAsia="Calibri"/>
          <w:b/>
          <w:lang w:val="en-US" w:eastAsia="en-US"/>
        </w:rPr>
        <w:t>:</w:t>
      </w:r>
    </w:p>
    <w:p w:rsidR="000A52B5" w:rsidRPr="009B7208" w:rsidRDefault="000A52B5" w:rsidP="000A52B5">
      <w:pPr>
        <w:numPr>
          <w:ilvl w:val="0"/>
          <w:numId w:val="8"/>
        </w:numPr>
        <w:tabs>
          <w:tab w:val="num" w:pos="1080"/>
          <w:tab w:val="num" w:pos="1215"/>
        </w:tabs>
        <w:ind w:left="1080" w:hanging="900"/>
        <w:jc w:val="both"/>
      </w:pPr>
      <w:r w:rsidRPr="009B7208">
        <w:t xml:space="preserve">Расходная часть проекта решения о бюджете в целом составлена в соответствии с Федеральным Законом РФ «Об общих принципах организации местного самоуправления в РФ» от 06.10.2003 №131-ФЗ в части полномочий </w:t>
      </w:r>
      <w:r w:rsidR="00D317B4">
        <w:t>опреде</w:t>
      </w:r>
      <w:r w:rsidRPr="009B7208">
        <w:t>лённых ст.16, 16.1.</w:t>
      </w:r>
    </w:p>
    <w:p w:rsidR="000A52B5" w:rsidRPr="009B7208" w:rsidRDefault="000A52B5" w:rsidP="000A52B5">
      <w:pPr>
        <w:numPr>
          <w:ilvl w:val="0"/>
          <w:numId w:val="8"/>
        </w:numPr>
        <w:tabs>
          <w:tab w:val="num" w:pos="1080"/>
          <w:tab w:val="num" w:pos="1215"/>
        </w:tabs>
        <w:ind w:left="1080" w:hanging="900"/>
        <w:jc w:val="both"/>
      </w:pPr>
      <w:r w:rsidRPr="009B7208">
        <w:t xml:space="preserve">Ведомственная  структура расходов бюджета городского округа </w:t>
      </w:r>
      <w:r w:rsidR="00ED334A">
        <w:t>Вичуга</w:t>
      </w:r>
      <w:r w:rsidRPr="009B7208">
        <w:t xml:space="preserve">  запланирована по главным распорядителям бюджетных средств в  соответствии со   статьей 38.1. БК РФ. </w:t>
      </w:r>
    </w:p>
    <w:p w:rsidR="000A52B5" w:rsidRPr="009B7208" w:rsidRDefault="000A52B5" w:rsidP="000A52B5">
      <w:pPr>
        <w:numPr>
          <w:ilvl w:val="0"/>
          <w:numId w:val="8"/>
        </w:numPr>
        <w:tabs>
          <w:tab w:val="num" w:pos="1080"/>
          <w:tab w:val="num" w:pos="1215"/>
        </w:tabs>
        <w:ind w:left="1080" w:hanging="900"/>
        <w:jc w:val="both"/>
      </w:pPr>
      <w:r w:rsidRPr="009B7208">
        <w:t>Общий объем условно утверждаемых расходов закреплен ведомственной структурой расходов бюджета и соответствует ст. 184.1 БК РФ.</w:t>
      </w:r>
    </w:p>
    <w:p w:rsidR="000A52B5" w:rsidRPr="009B7208" w:rsidRDefault="000A52B5" w:rsidP="000A52B5">
      <w:pPr>
        <w:numPr>
          <w:ilvl w:val="0"/>
          <w:numId w:val="9"/>
        </w:numPr>
        <w:ind w:left="1080" w:hanging="900"/>
        <w:jc w:val="both"/>
      </w:pPr>
      <w:r w:rsidRPr="009B7208">
        <w:t xml:space="preserve">            Проект решения  планирует финансирование 1</w:t>
      </w:r>
      <w:r w:rsidR="00ED334A">
        <w:t>3</w:t>
      </w:r>
      <w:r w:rsidRPr="009B7208">
        <w:t>-ти (</w:t>
      </w:r>
      <w:r w:rsidR="00ED334A">
        <w:t>тринадцати</w:t>
      </w:r>
      <w:r w:rsidRPr="009B7208">
        <w:t>) муниципальных программ   с общим  объемом расходов муниципальных программ в 201</w:t>
      </w:r>
      <w:r w:rsidR="00ED334A">
        <w:t>5</w:t>
      </w:r>
      <w:r w:rsidRPr="009B7208">
        <w:t>, 201</w:t>
      </w:r>
      <w:r w:rsidR="00ED334A">
        <w:t>6 и 2017</w:t>
      </w:r>
      <w:r w:rsidRPr="009B7208">
        <w:t xml:space="preserve"> годах  соответственно составляют  </w:t>
      </w:r>
      <w:r w:rsidR="00ED334A">
        <w:t xml:space="preserve">436 517 897 </w:t>
      </w:r>
      <w:r w:rsidRPr="009B7208">
        <w:t xml:space="preserve">руб.; </w:t>
      </w:r>
      <w:r w:rsidR="00ED334A">
        <w:t xml:space="preserve">415 517 580 </w:t>
      </w:r>
      <w:r w:rsidRPr="009B7208">
        <w:t xml:space="preserve">руб.; </w:t>
      </w:r>
      <w:r w:rsidR="00ED334A">
        <w:t xml:space="preserve">406 301 067 </w:t>
      </w:r>
      <w:r w:rsidRPr="009B7208">
        <w:t xml:space="preserve">руб. </w:t>
      </w:r>
    </w:p>
    <w:p w:rsidR="000A52B5" w:rsidRPr="009B7208" w:rsidRDefault="000A52B5" w:rsidP="000A52B5">
      <w:pPr>
        <w:pStyle w:val="ac"/>
        <w:numPr>
          <w:ilvl w:val="0"/>
          <w:numId w:val="9"/>
        </w:numPr>
        <w:tabs>
          <w:tab w:val="left" w:pos="1080"/>
        </w:tabs>
        <w:spacing w:line="240" w:lineRule="auto"/>
        <w:ind w:left="1080" w:hanging="900"/>
        <w:jc w:val="both"/>
        <w:rPr>
          <w:rFonts w:ascii="Times New Roman" w:hAnsi="Times New Roman"/>
          <w:sz w:val="24"/>
          <w:szCs w:val="24"/>
        </w:rPr>
      </w:pPr>
      <w:r w:rsidRPr="009B7208">
        <w:rPr>
          <w:rFonts w:ascii="Times New Roman" w:hAnsi="Times New Roman"/>
          <w:sz w:val="24"/>
          <w:szCs w:val="24"/>
        </w:rPr>
        <w:t xml:space="preserve">               Согласно пункту 4 статьи 21 БК РФ целевые статьи расходов Проекта решения   сформированы в соответствии с муниципальными программами.</w:t>
      </w:r>
    </w:p>
    <w:p w:rsidR="000A52B5" w:rsidRPr="009B7208" w:rsidRDefault="000A52B5" w:rsidP="000A52B5">
      <w:pPr>
        <w:pStyle w:val="ac"/>
        <w:numPr>
          <w:ilvl w:val="0"/>
          <w:numId w:val="9"/>
        </w:numPr>
        <w:tabs>
          <w:tab w:val="left" w:pos="1080"/>
        </w:tabs>
        <w:spacing w:line="240" w:lineRule="auto"/>
        <w:ind w:left="1080" w:hanging="900"/>
        <w:jc w:val="both"/>
        <w:rPr>
          <w:rFonts w:ascii="Times New Roman" w:hAnsi="Times New Roman"/>
          <w:sz w:val="24"/>
          <w:szCs w:val="24"/>
        </w:rPr>
      </w:pPr>
      <w:r w:rsidRPr="009B7208">
        <w:rPr>
          <w:rFonts w:ascii="Times New Roman" w:hAnsi="Times New Roman"/>
          <w:sz w:val="24"/>
          <w:szCs w:val="24"/>
        </w:rPr>
        <w:t xml:space="preserve">               Формирование бюджета городского округа </w:t>
      </w:r>
      <w:r w:rsidR="00ED334A">
        <w:rPr>
          <w:rFonts w:ascii="Times New Roman" w:hAnsi="Times New Roman"/>
          <w:sz w:val="24"/>
          <w:szCs w:val="24"/>
        </w:rPr>
        <w:t>Вичуга</w:t>
      </w:r>
      <w:r w:rsidRPr="009B7208">
        <w:rPr>
          <w:rFonts w:ascii="Times New Roman" w:hAnsi="Times New Roman"/>
          <w:sz w:val="24"/>
          <w:szCs w:val="24"/>
        </w:rPr>
        <w:t xml:space="preserve"> на 2015-2017 годы произведено в соответствии с пунктом 2 статьи 179 БК РФ, который устанавливает, что объем бюджетных ассигнований на финансовое обеспечение реализации муниципальных программ утверждается  решением о бюджете  в соответствии с утвердившим программу муниципальным правовым актом местной администрации муниципальн6ого образования.  </w:t>
      </w:r>
    </w:p>
    <w:p w:rsidR="000A52B5" w:rsidRPr="009B7208" w:rsidRDefault="000A52B5" w:rsidP="000A52B5">
      <w:pPr>
        <w:pStyle w:val="ac"/>
        <w:numPr>
          <w:ilvl w:val="0"/>
          <w:numId w:val="9"/>
        </w:numPr>
        <w:tabs>
          <w:tab w:val="num" w:pos="1080"/>
        </w:tabs>
        <w:ind w:left="1080" w:hanging="900"/>
        <w:jc w:val="both"/>
        <w:rPr>
          <w:rFonts w:ascii="Times New Roman" w:hAnsi="Times New Roman"/>
          <w:sz w:val="24"/>
          <w:szCs w:val="24"/>
        </w:rPr>
      </w:pPr>
      <w:r w:rsidRPr="009B7208">
        <w:rPr>
          <w:rFonts w:ascii="Times New Roman" w:hAnsi="Times New Roman"/>
          <w:sz w:val="24"/>
          <w:szCs w:val="24"/>
        </w:rPr>
        <w:t xml:space="preserve">            Резервный фонд Администрации городского округа </w:t>
      </w:r>
      <w:r w:rsidR="00ED334A">
        <w:rPr>
          <w:rFonts w:ascii="Times New Roman" w:hAnsi="Times New Roman"/>
          <w:sz w:val="24"/>
          <w:szCs w:val="24"/>
        </w:rPr>
        <w:t>Вичуга</w:t>
      </w:r>
      <w:r w:rsidRPr="009B7208">
        <w:rPr>
          <w:rFonts w:ascii="Times New Roman" w:hAnsi="Times New Roman"/>
          <w:sz w:val="24"/>
          <w:szCs w:val="24"/>
        </w:rPr>
        <w:t xml:space="preserve"> на 2015 год и плановый период 2016 и 2017 годов установлен в соответствии с нормами части 3 статьи 81 БК РФ и Порядком расходования  средств резервного фонда Администрации городского округа </w:t>
      </w:r>
      <w:r w:rsidR="00ED334A">
        <w:rPr>
          <w:rFonts w:ascii="Times New Roman" w:hAnsi="Times New Roman"/>
          <w:sz w:val="24"/>
          <w:szCs w:val="24"/>
        </w:rPr>
        <w:t>Вичуга</w:t>
      </w:r>
      <w:r w:rsidRPr="009B7208">
        <w:rPr>
          <w:rFonts w:ascii="Times New Roman" w:hAnsi="Times New Roman"/>
          <w:sz w:val="24"/>
          <w:szCs w:val="24"/>
        </w:rPr>
        <w:t>.</w:t>
      </w:r>
    </w:p>
    <w:p w:rsidR="000A52B5" w:rsidRPr="002D70A6" w:rsidRDefault="000A52B5" w:rsidP="000A52B5">
      <w:pPr>
        <w:pStyle w:val="ac"/>
        <w:numPr>
          <w:ilvl w:val="0"/>
          <w:numId w:val="9"/>
        </w:numPr>
        <w:ind w:left="1080" w:hanging="900"/>
        <w:jc w:val="both"/>
        <w:rPr>
          <w:rFonts w:ascii="Times New Roman" w:hAnsi="Times New Roman"/>
          <w:sz w:val="24"/>
          <w:szCs w:val="24"/>
        </w:rPr>
      </w:pPr>
      <w:r w:rsidRPr="009B7208">
        <w:rPr>
          <w:rFonts w:ascii="Times New Roman" w:hAnsi="Times New Roman"/>
          <w:sz w:val="24"/>
          <w:szCs w:val="24"/>
        </w:rPr>
        <w:t xml:space="preserve">            </w:t>
      </w:r>
      <w:r w:rsidRPr="002D70A6">
        <w:rPr>
          <w:rFonts w:ascii="Times New Roman" w:hAnsi="Times New Roman"/>
          <w:sz w:val="24"/>
          <w:szCs w:val="24"/>
        </w:rPr>
        <w:t xml:space="preserve">Более половины расходов бюджета городского округа </w:t>
      </w:r>
      <w:r w:rsidR="00ED334A" w:rsidRPr="002D70A6">
        <w:rPr>
          <w:rFonts w:ascii="Times New Roman" w:hAnsi="Times New Roman"/>
          <w:sz w:val="24"/>
          <w:szCs w:val="24"/>
        </w:rPr>
        <w:t>Вичуга</w:t>
      </w:r>
      <w:r w:rsidRPr="002D70A6">
        <w:rPr>
          <w:rFonts w:ascii="Times New Roman" w:hAnsi="Times New Roman"/>
          <w:sz w:val="24"/>
          <w:szCs w:val="24"/>
        </w:rPr>
        <w:t xml:space="preserve"> на 2015-2017 годы приходится на образова</w:t>
      </w:r>
      <w:r w:rsidR="002D70A6" w:rsidRPr="002D70A6">
        <w:rPr>
          <w:rFonts w:ascii="Times New Roman" w:hAnsi="Times New Roman"/>
          <w:sz w:val="24"/>
          <w:szCs w:val="24"/>
        </w:rPr>
        <w:t xml:space="preserve">ние, культуру и кинематографию, </w:t>
      </w:r>
      <w:r w:rsidRPr="002D70A6">
        <w:rPr>
          <w:rFonts w:ascii="Times New Roman" w:hAnsi="Times New Roman"/>
          <w:sz w:val="24"/>
          <w:szCs w:val="24"/>
        </w:rPr>
        <w:t xml:space="preserve">Таким образом, Проект решения имеет явную социальную направленность. </w:t>
      </w:r>
    </w:p>
    <w:p w:rsidR="000A52B5" w:rsidRPr="009B7208" w:rsidRDefault="00D317B4" w:rsidP="00B401FE">
      <w:pPr>
        <w:pStyle w:val="ac"/>
        <w:ind w:left="1080"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A52B5" w:rsidRPr="009B7208">
        <w:rPr>
          <w:rFonts w:ascii="Times New Roman" w:hAnsi="Times New Roman"/>
          <w:sz w:val="24"/>
          <w:szCs w:val="24"/>
        </w:rPr>
        <w:t>В  структуре общего объема расходов Проекта решения  наибольший удельный вес в 2015-2017 годах составляют расходы по раздел</w:t>
      </w:r>
      <w:r w:rsidR="00B401FE">
        <w:rPr>
          <w:rFonts w:ascii="Times New Roman" w:hAnsi="Times New Roman"/>
          <w:sz w:val="24"/>
          <w:szCs w:val="24"/>
        </w:rPr>
        <w:t xml:space="preserve">у </w:t>
      </w:r>
      <w:r w:rsidR="000A52B5" w:rsidRPr="009B7208">
        <w:rPr>
          <w:rFonts w:ascii="Times New Roman" w:hAnsi="Times New Roman"/>
          <w:sz w:val="24"/>
          <w:szCs w:val="24"/>
        </w:rPr>
        <w:t>«Образование» -</w:t>
      </w:r>
      <w:r w:rsidR="002D70A6">
        <w:rPr>
          <w:rFonts w:ascii="Times New Roman" w:hAnsi="Times New Roman"/>
          <w:sz w:val="24"/>
          <w:szCs w:val="24"/>
        </w:rPr>
        <w:t>55,7%; 54,3%; 54,2%.</w:t>
      </w:r>
    </w:p>
    <w:p w:rsidR="00742768" w:rsidRPr="002B745A" w:rsidRDefault="000A52B5" w:rsidP="002B745A">
      <w:pPr>
        <w:pStyle w:val="ac"/>
        <w:numPr>
          <w:ilvl w:val="0"/>
          <w:numId w:val="10"/>
        </w:numPr>
        <w:tabs>
          <w:tab w:val="clear" w:pos="720"/>
          <w:tab w:val="num" w:pos="1080"/>
        </w:tabs>
        <w:ind w:left="1080" w:hanging="900"/>
        <w:jc w:val="both"/>
        <w:rPr>
          <w:rFonts w:ascii="Times New Roman" w:hAnsi="Times New Roman"/>
          <w:sz w:val="24"/>
          <w:szCs w:val="24"/>
        </w:rPr>
      </w:pPr>
      <w:r w:rsidRPr="009B7208">
        <w:rPr>
          <w:rFonts w:ascii="Times New Roman" w:hAnsi="Times New Roman"/>
          <w:sz w:val="24"/>
          <w:szCs w:val="24"/>
        </w:rPr>
        <w:t xml:space="preserve">Целевые статьи расходов бюджета городского округа </w:t>
      </w:r>
      <w:r w:rsidR="00ED334A">
        <w:rPr>
          <w:rFonts w:ascii="Times New Roman" w:hAnsi="Times New Roman"/>
          <w:sz w:val="24"/>
          <w:szCs w:val="24"/>
        </w:rPr>
        <w:t>Вичуга</w:t>
      </w:r>
      <w:r w:rsidRPr="009B7208">
        <w:rPr>
          <w:rFonts w:ascii="Times New Roman" w:hAnsi="Times New Roman"/>
          <w:sz w:val="24"/>
          <w:szCs w:val="24"/>
        </w:rPr>
        <w:t xml:space="preserve">  обеспечивают привязку бюджетных ассигнований к расходным обязательствам, подлежащим исполнению за счет средств бюджета городского округа </w:t>
      </w:r>
      <w:r w:rsidR="00ED334A">
        <w:rPr>
          <w:rFonts w:ascii="Times New Roman" w:hAnsi="Times New Roman"/>
          <w:sz w:val="24"/>
          <w:szCs w:val="24"/>
        </w:rPr>
        <w:t>Вичуга</w:t>
      </w:r>
      <w:r w:rsidRPr="009B7208">
        <w:rPr>
          <w:rFonts w:ascii="Times New Roman" w:hAnsi="Times New Roman"/>
          <w:sz w:val="24"/>
          <w:szCs w:val="24"/>
        </w:rPr>
        <w:t xml:space="preserve">, осуществляемых в рамках реализации мероприятий подпрограмм муниципальных программ городского округа </w:t>
      </w:r>
      <w:r w:rsidR="00ED334A">
        <w:rPr>
          <w:rFonts w:ascii="Times New Roman" w:hAnsi="Times New Roman"/>
          <w:sz w:val="24"/>
          <w:szCs w:val="24"/>
        </w:rPr>
        <w:t>Вичуга</w:t>
      </w:r>
      <w:r w:rsidRPr="009B7208">
        <w:rPr>
          <w:rFonts w:ascii="Times New Roman" w:hAnsi="Times New Roman"/>
          <w:sz w:val="24"/>
          <w:szCs w:val="24"/>
        </w:rPr>
        <w:t xml:space="preserve">, а также в рамках не включенных в муниципальные программы городского округа </w:t>
      </w:r>
      <w:r w:rsidR="00ED334A">
        <w:rPr>
          <w:rFonts w:ascii="Times New Roman" w:hAnsi="Times New Roman"/>
          <w:sz w:val="24"/>
          <w:szCs w:val="24"/>
        </w:rPr>
        <w:t>Вичуга</w:t>
      </w:r>
      <w:r w:rsidRPr="009B7208">
        <w:rPr>
          <w:rFonts w:ascii="Times New Roman" w:hAnsi="Times New Roman"/>
          <w:sz w:val="24"/>
          <w:szCs w:val="24"/>
        </w:rPr>
        <w:t xml:space="preserve"> направлений деятельности органов местного самоуправления городского округа </w:t>
      </w:r>
      <w:r w:rsidR="00ED334A">
        <w:rPr>
          <w:rFonts w:ascii="Times New Roman" w:hAnsi="Times New Roman"/>
          <w:sz w:val="24"/>
          <w:szCs w:val="24"/>
        </w:rPr>
        <w:t>Вичуга</w:t>
      </w:r>
      <w:r w:rsidRPr="009B7208">
        <w:rPr>
          <w:rFonts w:ascii="Times New Roman" w:hAnsi="Times New Roman"/>
          <w:sz w:val="24"/>
          <w:szCs w:val="24"/>
        </w:rPr>
        <w:t xml:space="preserve">, и (или) к расходным обязательствам, подлежащим исполнению за счет средств бюджета городского округа </w:t>
      </w:r>
      <w:r w:rsidR="00ED334A">
        <w:rPr>
          <w:rFonts w:ascii="Times New Roman" w:hAnsi="Times New Roman"/>
          <w:sz w:val="24"/>
          <w:szCs w:val="24"/>
        </w:rPr>
        <w:t>Вичуга</w:t>
      </w:r>
      <w:r w:rsidRPr="009B7208">
        <w:rPr>
          <w:rFonts w:ascii="Times New Roman" w:hAnsi="Times New Roman"/>
          <w:sz w:val="24"/>
          <w:szCs w:val="24"/>
        </w:rPr>
        <w:t>.</w:t>
      </w:r>
    </w:p>
    <w:p w:rsidR="00920B88" w:rsidRPr="00DB7BDE" w:rsidRDefault="00920B88" w:rsidP="002B745A">
      <w:pPr>
        <w:jc w:val="center"/>
        <w:rPr>
          <w:rFonts w:eastAsia="Calibri"/>
          <w:b/>
          <w:lang w:eastAsia="en-US"/>
        </w:rPr>
      </w:pPr>
      <w:r w:rsidRPr="00DB7BDE">
        <w:rPr>
          <w:rFonts w:eastAsia="Calibri"/>
          <w:b/>
          <w:lang w:eastAsia="en-US"/>
        </w:rPr>
        <w:t>Оценка и анализ источников финансирования дефицита бюджета,</w:t>
      </w:r>
    </w:p>
    <w:p w:rsidR="00920B88" w:rsidRDefault="00920B88" w:rsidP="002B745A">
      <w:pPr>
        <w:jc w:val="center"/>
        <w:rPr>
          <w:rFonts w:eastAsia="Calibri"/>
          <w:b/>
          <w:lang w:eastAsia="en-US"/>
        </w:rPr>
      </w:pPr>
      <w:r w:rsidRPr="00DB7BDE">
        <w:rPr>
          <w:rFonts w:eastAsia="Calibri"/>
          <w:b/>
          <w:lang w:eastAsia="en-US"/>
        </w:rPr>
        <w:t>соблюдение требований Бюджетного кодекса РФ по установлению размера дефицита местного бюджета и ограничения по источникам его финансирования.</w:t>
      </w:r>
    </w:p>
    <w:p w:rsidR="002B745A" w:rsidRPr="00DB7BDE" w:rsidRDefault="002B745A" w:rsidP="002B745A">
      <w:pPr>
        <w:jc w:val="center"/>
        <w:rPr>
          <w:rFonts w:eastAsia="Calibri"/>
          <w:b/>
          <w:lang w:eastAsia="en-US"/>
        </w:rPr>
      </w:pPr>
    </w:p>
    <w:p w:rsidR="00920B88" w:rsidRPr="00664C85" w:rsidRDefault="00920B88" w:rsidP="00A822A4">
      <w:pPr>
        <w:ind w:firstLine="708"/>
        <w:jc w:val="both"/>
        <w:rPr>
          <w:rFonts w:eastAsia="Calibri"/>
          <w:lang w:eastAsia="en-US"/>
        </w:rPr>
      </w:pPr>
      <w:r w:rsidRPr="00664C85">
        <w:rPr>
          <w:rFonts w:eastAsia="Calibri"/>
          <w:lang w:eastAsia="en-US"/>
        </w:rPr>
        <w:t xml:space="preserve">Согласно пункту 3 статьи 92.1 БК РФ дефицит местного бюджета не должен </w:t>
      </w:r>
      <w:r w:rsidRPr="00664C85">
        <w:rPr>
          <w:rFonts w:eastAsia="Calibri"/>
          <w:b/>
          <w:lang w:eastAsia="en-US"/>
        </w:rPr>
        <w:t>превышать 10 процентов</w:t>
      </w:r>
      <w:r w:rsidRPr="00664C85">
        <w:rPr>
          <w:rFonts w:eastAsia="Calibri"/>
          <w:lang w:eastAsia="en-US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</w:t>
      </w:r>
      <w:r w:rsidRPr="00664C85">
        <w:rPr>
          <w:rFonts w:eastAsia="Calibri"/>
          <w:lang w:eastAsia="en-US"/>
        </w:rPr>
        <w:lastRenderedPageBreak/>
        <w:t>поступлений налоговых доходов по дополнительным нормативам отчислений. Дефицит местного бюджета  может превысить ограничения, установленные настоящим пунктом, в пределах суммы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бюджета.</w:t>
      </w:r>
    </w:p>
    <w:p w:rsidR="00920B88" w:rsidRPr="007F2BC4" w:rsidRDefault="00920B88" w:rsidP="00A822A4">
      <w:pPr>
        <w:ind w:firstLine="708"/>
        <w:jc w:val="both"/>
        <w:rPr>
          <w:rFonts w:eastAsia="Calibri"/>
          <w:b/>
          <w:lang w:eastAsia="en-US"/>
        </w:rPr>
      </w:pPr>
      <w:r w:rsidRPr="00664C85">
        <w:rPr>
          <w:rFonts w:eastAsia="Calibri"/>
          <w:b/>
          <w:lang w:eastAsia="en-US"/>
        </w:rPr>
        <w:t>Стоит отметить, что дефицит местного бюджета в проекте на 201</w:t>
      </w:r>
      <w:r w:rsidR="001B7021" w:rsidRPr="00664C85">
        <w:rPr>
          <w:rFonts w:eastAsia="Calibri"/>
          <w:b/>
          <w:lang w:eastAsia="en-US"/>
        </w:rPr>
        <w:t>5</w:t>
      </w:r>
      <w:r w:rsidRPr="00664C85">
        <w:rPr>
          <w:rFonts w:eastAsia="Calibri"/>
          <w:b/>
          <w:lang w:eastAsia="en-US"/>
        </w:rPr>
        <w:t xml:space="preserve"> год по сравнению с утвержденными показателями в 201</w:t>
      </w:r>
      <w:r w:rsidR="001B7021" w:rsidRPr="00664C85">
        <w:rPr>
          <w:rFonts w:eastAsia="Calibri"/>
          <w:b/>
          <w:lang w:eastAsia="en-US"/>
        </w:rPr>
        <w:t>4</w:t>
      </w:r>
      <w:r w:rsidRPr="00664C85">
        <w:rPr>
          <w:rFonts w:eastAsia="Calibri"/>
          <w:b/>
          <w:lang w:eastAsia="en-US"/>
        </w:rPr>
        <w:t xml:space="preserve"> году </w:t>
      </w:r>
      <w:r w:rsidR="001B7021" w:rsidRPr="00664C85">
        <w:rPr>
          <w:rFonts w:eastAsia="Calibri"/>
          <w:b/>
          <w:lang w:eastAsia="en-US"/>
        </w:rPr>
        <w:t>увеличился</w:t>
      </w:r>
      <w:r w:rsidRPr="00664C85">
        <w:rPr>
          <w:rFonts w:eastAsia="Calibri"/>
          <w:b/>
          <w:lang w:eastAsia="en-US"/>
        </w:rPr>
        <w:t>, в связи с увеличением общего объема доходной и расходной частей бюджета.</w:t>
      </w:r>
    </w:p>
    <w:p w:rsidR="00D155C1" w:rsidRPr="00DB7BDE" w:rsidRDefault="00D155C1" w:rsidP="00A822A4">
      <w:pPr>
        <w:ind w:firstLine="708"/>
        <w:jc w:val="both"/>
        <w:rPr>
          <w:rFonts w:eastAsia="Calibri"/>
          <w:lang w:eastAsia="en-US"/>
        </w:rPr>
      </w:pPr>
    </w:p>
    <w:p w:rsidR="00920B88" w:rsidRDefault="00920B88" w:rsidP="00920B88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B7BDE">
        <w:rPr>
          <w:rFonts w:eastAsia="Calibri"/>
          <w:lang w:eastAsia="en-US"/>
        </w:rPr>
        <w:t>Сравнительный анализ приведен в графике</w:t>
      </w:r>
      <w:r w:rsidR="00DF1FEE">
        <w:rPr>
          <w:rFonts w:eastAsia="Calibri"/>
          <w:lang w:eastAsia="en-US"/>
        </w:rPr>
        <w:t xml:space="preserve"> 1</w:t>
      </w:r>
      <w:r w:rsidRPr="00DB7BDE">
        <w:rPr>
          <w:rFonts w:eastAsia="Calibri"/>
          <w:lang w:eastAsia="en-US"/>
        </w:rPr>
        <w:t>:</w:t>
      </w:r>
    </w:p>
    <w:p w:rsidR="00DF1FEE" w:rsidRPr="00DB7BDE" w:rsidRDefault="00DF1FEE" w:rsidP="00DF1FEE">
      <w:pPr>
        <w:spacing w:after="200" w:line="276" w:lineRule="auto"/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График 1</w:t>
      </w:r>
    </w:p>
    <w:p w:rsidR="00920B88" w:rsidRPr="00920B88" w:rsidRDefault="00AD0936" w:rsidP="00C86D52">
      <w:pPr>
        <w:spacing w:after="200" w:line="276" w:lineRule="auto"/>
        <w:ind w:firstLine="708"/>
        <w:jc w:val="right"/>
        <w:rPr>
          <w:rFonts w:eastAsia="Calibri"/>
          <w:highlight w:val="lightGray"/>
          <w:lang w:eastAsia="en-US"/>
        </w:rPr>
      </w:pPr>
      <w:r>
        <w:rPr>
          <w:noProof/>
        </w:rPr>
        <w:drawing>
          <wp:inline distT="0" distB="0" distL="0" distR="0">
            <wp:extent cx="5705475" cy="31146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713A" w:rsidRPr="00DB7BDE" w:rsidRDefault="00920B88" w:rsidP="00F72FD4">
      <w:pPr>
        <w:spacing w:after="200"/>
        <w:ind w:firstLine="708"/>
        <w:jc w:val="both"/>
        <w:rPr>
          <w:rFonts w:eastAsia="Calibri"/>
          <w:lang w:eastAsia="en-US"/>
        </w:rPr>
      </w:pPr>
      <w:r w:rsidRPr="003D45A3">
        <w:rPr>
          <w:rFonts w:eastAsia="Calibri"/>
          <w:lang w:eastAsia="en-US"/>
        </w:rPr>
        <w:t xml:space="preserve">В </w:t>
      </w:r>
      <w:r w:rsidR="00F261FE" w:rsidRPr="003D45A3">
        <w:rPr>
          <w:rFonts w:eastAsia="Calibri"/>
          <w:lang w:eastAsia="en-US"/>
        </w:rPr>
        <w:t>проекте решения №71 «О бюджете городского округа Вичуга на 2015 год и на плановый период 2016 и 2017 годов»</w:t>
      </w:r>
      <w:r w:rsidRPr="003D45A3">
        <w:rPr>
          <w:rFonts w:eastAsia="Calibri"/>
          <w:lang w:eastAsia="en-US"/>
        </w:rPr>
        <w:t xml:space="preserve"> дефицит соответствует требования</w:t>
      </w:r>
      <w:r w:rsidR="002D7C55" w:rsidRPr="003D45A3">
        <w:rPr>
          <w:rFonts w:eastAsia="Calibri"/>
          <w:lang w:eastAsia="en-US"/>
        </w:rPr>
        <w:t>м</w:t>
      </w:r>
      <w:r w:rsidRPr="003D45A3">
        <w:rPr>
          <w:rFonts w:eastAsia="Calibri"/>
          <w:lang w:eastAsia="en-US"/>
        </w:rPr>
        <w:t xml:space="preserve"> бюджетного законодательства.</w:t>
      </w:r>
      <w:r w:rsidR="002B3B12" w:rsidRPr="003D45A3">
        <w:rPr>
          <w:rFonts w:eastAsia="Calibri"/>
          <w:lang w:eastAsia="en-US"/>
        </w:rPr>
        <w:t xml:space="preserve"> </w:t>
      </w:r>
      <w:r w:rsidRPr="003D45A3">
        <w:rPr>
          <w:rFonts w:eastAsia="Calibri"/>
          <w:lang w:eastAsia="en-US"/>
        </w:rPr>
        <w:t xml:space="preserve">Соответствующий расчет представлен в таблице </w:t>
      </w:r>
      <w:r w:rsidR="00CC02F2">
        <w:rPr>
          <w:rFonts w:eastAsia="Calibri"/>
          <w:lang w:eastAsia="en-US"/>
        </w:rPr>
        <w:t>8</w:t>
      </w:r>
      <w:r w:rsidRPr="00DB7BDE">
        <w:rPr>
          <w:rFonts w:eastAsia="Calibri"/>
          <w:lang w:eastAsia="en-US"/>
        </w:rPr>
        <w:t>:</w:t>
      </w:r>
    </w:p>
    <w:p w:rsidR="00920B88" w:rsidRPr="00DB7BDE" w:rsidRDefault="00920B88" w:rsidP="00D155C1">
      <w:pPr>
        <w:spacing w:line="276" w:lineRule="auto"/>
        <w:ind w:firstLine="708"/>
        <w:jc w:val="right"/>
        <w:rPr>
          <w:rFonts w:eastAsia="Calibri"/>
          <w:lang w:eastAsia="en-US"/>
        </w:rPr>
      </w:pPr>
      <w:r w:rsidRPr="00DB7BDE">
        <w:rPr>
          <w:rFonts w:eastAsia="Calibri"/>
          <w:lang w:eastAsia="en-US"/>
        </w:rPr>
        <w:t xml:space="preserve">Таблица </w:t>
      </w:r>
      <w:r w:rsidR="00CC02F2">
        <w:rPr>
          <w:rFonts w:eastAsia="Calibri"/>
          <w:lang w:eastAsia="en-US"/>
        </w:rPr>
        <w:t>8</w:t>
      </w:r>
      <w:r w:rsidRPr="00DB7BDE">
        <w:rPr>
          <w:rFonts w:eastAsia="Calibri"/>
          <w:lang w:eastAsia="en-US"/>
        </w:rPr>
        <w:t xml:space="preserve"> 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</w:tblGrid>
      <w:tr w:rsidR="00803202" w:rsidRPr="00DB7BDE" w:rsidTr="00803202">
        <w:tc>
          <w:tcPr>
            <w:tcW w:w="4253" w:type="dxa"/>
            <w:shd w:val="clear" w:color="auto" w:fill="auto"/>
          </w:tcPr>
          <w:p w:rsidR="00803202" w:rsidRPr="00DB7BDE" w:rsidRDefault="00803202" w:rsidP="00641A8D">
            <w:pPr>
              <w:jc w:val="center"/>
              <w:rPr>
                <w:rFonts w:eastAsia="Calibri"/>
                <w:b/>
                <w:lang w:eastAsia="en-US"/>
              </w:rPr>
            </w:pPr>
            <w:r w:rsidRPr="00DB7BDE">
              <w:rPr>
                <w:rFonts w:eastAsia="Calibri"/>
                <w:b/>
                <w:lang w:eastAsia="en-US"/>
              </w:rPr>
              <w:t>Наименование</w:t>
            </w:r>
          </w:p>
          <w:p w:rsidR="00803202" w:rsidRPr="00DB7BDE" w:rsidRDefault="00803202" w:rsidP="00641A8D">
            <w:pPr>
              <w:jc w:val="center"/>
              <w:rPr>
                <w:rFonts w:eastAsia="Calibri"/>
                <w:b/>
                <w:lang w:eastAsia="en-US"/>
              </w:rPr>
            </w:pPr>
            <w:r w:rsidRPr="00DB7BDE">
              <w:rPr>
                <w:rFonts w:eastAsia="Calibri"/>
                <w:b/>
                <w:lang w:eastAsia="en-US"/>
              </w:rPr>
              <w:t>показателя</w:t>
            </w:r>
          </w:p>
        </w:tc>
        <w:tc>
          <w:tcPr>
            <w:tcW w:w="1701" w:type="dxa"/>
            <w:shd w:val="clear" w:color="auto" w:fill="auto"/>
          </w:tcPr>
          <w:p w:rsidR="00803202" w:rsidRPr="00DB7BDE" w:rsidRDefault="00803202" w:rsidP="0053612A">
            <w:pPr>
              <w:jc w:val="center"/>
              <w:rPr>
                <w:rFonts w:eastAsia="Calibri"/>
                <w:b/>
                <w:lang w:eastAsia="en-US"/>
              </w:rPr>
            </w:pPr>
            <w:r w:rsidRPr="00DB7BDE">
              <w:rPr>
                <w:rFonts w:eastAsia="Calibri"/>
                <w:b/>
                <w:lang w:eastAsia="en-US"/>
              </w:rPr>
              <w:t>201</w:t>
            </w:r>
            <w:r w:rsidR="0053612A">
              <w:rPr>
                <w:rFonts w:eastAsia="Calibri"/>
                <w:b/>
                <w:lang w:eastAsia="en-US"/>
              </w:rPr>
              <w:t>5</w:t>
            </w:r>
            <w:r w:rsidRPr="00DB7BDE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803202" w:rsidRPr="00DB7BDE" w:rsidRDefault="00803202" w:rsidP="0053612A">
            <w:pPr>
              <w:jc w:val="center"/>
              <w:rPr>
                <w:rFonts w:eastAsia="Calibri"/>
                <w:b/>
                <w:lang w:eastAsia="en-US"/>
              </w:rPr>
            </w:pPr>
            <w:r w:rsidRPr="00DB7BDE">
              <w:rPr>
                <w:rFonts w:eastAsia="Calibri"/>
                <w:b/>
                <w:lang w:eastAsia="en-US"/>
              </w:rPr>
              <w:t>201</w:t>
            </w:r>
            <w:r w:rsidR="0053612A">
              <w:rPr>
                <w:rFonts w:eastAsia="Calibri"/>
                <w:b/>
                <w:lang w:eastAsia="en-US"/>
              </w:rPr>
              <w:t>6</w:t>
            </w:r>
            <w:r w:rsidRPr="00DB7BDE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803202" w:rsidRPr="00DB7BDE" w:rsidRDefault="00803202" w:rsidP="0053612A">
            <w:pPr>
              <w:jc w:val="center"/>
              <w:rPr>
                <w:rFonts w:eastAsia="Calibri"/>
                <w:b/>
                <w:lang w:eastAsia="en-US"/>
              </w:rPr>
            </w:pPr>
            <w:r w:rsidRPr="00DB7BDE">
              <w:rPr>
                <w:rFonts w:eastAsia="Calibri"/>
                <w:b/>
                <w:lang w:eastAsia="en-US"/>
              </w:rPr>
              <w:t>201</w:t>
            </w:r>
            <w:r w:rsidR="0053612A">
              <w:rPr>
                <w:rFonts w:eastAsia="Calibri"/>
                <w:b/>
                <w:lang w:eastAsia="en-US"/>
              </w:rPr>
              <w:t>7</w:t>
            </w:r>
            <w:r w:rsidRPr="00DB7BDE">
              <w:rPr>
                <w:rFonts w:eastAsia="Calibri"/>
                <w:b/>
                <w:lang w:eastAsia="en-US"/>
              </w:rPr>
              <w:t xml:space="preserve"> год</w:t>
            </w:r>
          </w:p>
        </w:tc>
      </w:tr>
      <w:tr w:rsidR="00803202" w:rsidRPr="00DB7BDE" w:rsidTr="00803202">
        <w:tc>
          <w:tcPr>
            <w:tcW w:w="4253" w:type="dxa"/>
            <w:shd w:val="clear" w:color="auto" w:fill="auto"/>
          </w:tcPr>
          <w:p w:rsidR="00803202" w:rsidRPr="002F713A" w:rsidRDefault="00803202" w:rsidP="00641A8D">
            <w:pPr>
              <w:jc w:val="both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4D5239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446891,9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EE0669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423335,5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EE0669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421878,1</w:t>
            </w:r>
          </w:p>
        </w:tc>
      </w:tr>
      <w:tr w:rsidR="00803202" w:rsidRPr="00DB7BDE" w:rsidTr="00803202">
        <w:tc>
          <w:tcPr>
            <w:tcW w:w="4253" w:type="dxa"/>
            <w:shd w:val="clear" w:color="auto" w:fill="auto"/>
          </w:tcPr>
          <w:p w:rsidR="00803202" w:rsidRPr="002F713A" w:rsidRDefault="00803202" w:rsidP="00641A8D">
            <w:pPr>
              <w:jc w:val="both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021EFF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325162,5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021EFF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302426,4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021EFF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301084,7</w:t>
            </w:r>
          </w:p>
        </w:tc>
      </w:tr>
      <w:tr w:rsidR="00803202" w:rsidRPr="00DB7BDE" w:rsidTr="00803202">
        <w:tc>
          <w:tcPr>
            <w:tcW w:w="4253" w:type="dxa"/>
            <w:shd w:val="clear" w:color="auto" w:fill="auto"/>
          </w:tcPr>
          <w:p w:rsidR="00803202" w:rsidRPr="002F713A" w:rsidRDefault="00803202" w:rsidP="00641A8D">
            <w:pPr>
              <w:jc w:val="both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Всего доходов за вычетом безвозмездных поступлений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3F695B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121729,4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5B48B4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120909,1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5B48B4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120793,4</w:t>
            </w:r>
          </w:p>
        </w:tc>
      </w:tr>
      <w:tr w:rsidR="00803202" w:rsidRPr="00DB7BDE" w:rsidTr="00803202">
        <w:tc>
          <w:tcPr>
            <w:tcW w:w="4253" w:type="dxa"/>
            <w:shd w:val="clear" w:color="auto" w:fill="auto"/>
          </w:tcPr>
          <w:p w:rsidR="00803202" w:rsidRPr="002F713A" w:rsidRDefault="00803202" w:rsidP="00641A8D">
            <w:pPr>
              <w:jc w:val="both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4D5239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12172,6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EE0669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12090,6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EE0669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12079,3</w:t>
            </w:r>
          </w:p>
        </w:tc>
      </w:tr>
      <w:tr w:rsidR="00803202" w:rsidRPr="00DB7BDE" w:rsidTr="00803202">
        <w:tc>
          <w:tcPr>
            <w:tcW w:w="4253" w:type="dxa"/>
            <w:shd w:val="clear" w:color="auto" w:fill="auto"/>
          </w:tcPr>
          <w:p w:rsidR="00803202" w:rsidRPr="002F713A" w:rsidRDefault="00803202" w:rsidP="00641A8D">
            <w:pPr>
              <w:jc w:val="both"/>
              <w:rPr>
                <w:rFonts w:eastAsia="Calibri"/>
                <w:b/>
                <w:lang w:eastAsia="en-US"/>
              </w:rPr>
            </w:pPr>
            <w:r w:rsidRPr="002F713A">
              <w:rPr>
                <w:rFonts w:eastAsia="Calibri"/>
                <w:b/>
                <w:lang w:eastAsia="en-US"/>
              </w:rPr>
              <w:t xml:space="preserve">Всего источников </w:t>
            </w:r>
            <w:r w:rsidR="0044015D" w:rsidRPr="002F713A">
              <w:rPr>
                <w:rFonts w:eastAsia="Calibri"/>
                <w:b/>
                <w:lang w:eastAsia="en-US"/>
              </w:rPr>
              <w:t xml:space="preserve">внутреннего </w:t>
            </w:r>
            <w:r w:rsidRPr="002F713A">
              <w:rPr>
                <w:rFonts w:eastAsia="Calibri"/>
                <w:b/>
                <w:lang w:eastAsia="en-US"/>
              </w:rPr>
              <w:t>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44015D" w:rsidP="00641A8D">
            <w:pPr>
              <w:jc w:val="center"/>
              <w:rPr>
                <w:rFonts w:eastAsia="Calibri"/>
                <w:b/>
                <w:lang w:eastAsia="en-US"/>
              </w:rPr>
            </w:pPr>
            <w:r w:rsidRPr="002F713A">
              <w:rPr>
                <w:rFonts w:eastAsia="Calibri"/>
                <w:b/>
                <w:lang w:eastAsia="en-US"/>
              </w:rPr>
              <w:t>12172,6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44015D" w:rsidP="00641A8D">
            <w:pPr>
              <w:jc w:val="center"/>
              <w:rPr>
                <w:rFonts w:eastAsia="Calibri"/>
                <w:b/>
                <w:lang w:eastAsia="en-US"/>
              </w:rPr>
            </w:pPr>
            <w:r w:rsidRPr="002F713A">
              <w:rPr>
                <w:rFonts w:eastAsia="Calibri"/>
                <w:b/>
                <w:lang w:eastAsia="en-US"/>
              </w:rPr>
              <w:t>12090,6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44015D" w:rsidP="00641A8D">
            <w:pPr>
              <w:jc w:val="center"/>
              <w:rPr>
                <w:rFonts w:eastAsia="Calibri"/>
                <w:b/>
                <w:lang w:eastAsia="en-US"/>
              </w:rPr>
            </w:pPr>
            <w:r w:rsidRPr="002F713A">
              <w:rPr>
                <w:rFonts w:eastAsia="Calibri"/>
                <w:b/>
                <w:lang w:eastAsia="en-US"/>
              </w:rPr>
              <w:t>12079,3</w:t>
            </w:r>
          </w:p>
        </w:tc>
      </w:tr>
      <w:tr w:rsidR="00803202" w:rsidRPr="00DB7BDE" w:rsidTr="00803202">
        <w:tc>
          <w:tcPr>
            <w:tcW w:w="4253" w:type="dxa"/>
            <w:shd w:val="clear" w:color="auto" w:fill="auto"/>
          </w:tcPr>
          <w:p w:rsidR="00803202" w:rsidRPr="002F713A" w:rsidRDefault="00803202" w:rsidP="00641A8D">
            <w:pPr>
              <w:jc w:val="both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Получение кредитов от кредитных организаций бюджетами городских округов в валюте РФ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44015D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12172,6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44015D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24263,2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44015D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24169,9</w:t>
            </w:r>
          </w:p>
        </w:tc>
      </w:tr>
      <w:tr w:rsidR="00803202" w:rsidRPr="00DB7BDE" w:rsidTr="00803202">
        <w:tc>
          <w:tcPr>
            <w:tcW w:w="4253" w:type="dxa"/>
            <w:shd w:val="clear" w:color="auto" w:fill="auto"/>
          </w:tcPr>
          <w:p w:rsidR="00803202" w:rsidRPr="002F713A" w:rsidRDefault="00803202" w:rsidP="00641A8D">
            <w:pPr>
              <w:jc w:val="both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 xml:space="preserve">Погашение бюджетами городских округов кредитов от кредитных </w:t>
            </w:r>
            <w:r w:rsidRPr="002F713A">
              <w:rPr>
                <w:rFonts w:eastAsia="Calibri"/>
                <w:lang w:eastAsia="en-US"/>
              </w:rPr>
              <w:lastRenderedPageBreak/>
              <w:t>организаций в валюте РФ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8E2D62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8E2D62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12172,6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8E2D62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12090,6</w:t>
            </w:r>
          </w:p>
        </w:tc>
      </w:tr>
      <w:tr w:rsidR="00803202" w:rsidRPr="00DB7BDE" w:rsidTr="00803202">
        <w:tc>
          <w:tcPr>
            <w:tcW w:w="4253" w:type="dxa"/>
            <w:shd w:val="clear" w:color="auto" w:fill="auto"/>
          </w:tcPr>
          <w:p w:rsidR="00803202" w:rsidRPr="002F713A" w:rsidRDefault="00803202" w:rsidP="00641A8D">
            <w:pPr>
              <w:jc w:val="both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AC35C3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459064,5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AC35C3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447598,7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AC35C3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446048,0</w:t>
            </w:r>
          </w:p>
        </w:tc>
      </w:tr>
      <w:tr w:rsidR="00803202" w:rsidRPr="00DB7BDE" w:rsidTr="00803202">
        <w:tc>
          <w:tcPr>
            <w:tcW w:w="4253" w:type="dxa"/>
            <w:shd w:val="clear" w:color="auto" w:fill="auto"/>
          </w:tcPr>
          <w:p w:rsidR="00803202" w:rsidRPr="002F713A" w:rsidRDefault="00803202" w:rsidP="00641A8D">
            <w:pPr>
              <w:jc w:val="both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6F0920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459064,5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6F0920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447598,7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6F0920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446048,0</w:t>
            </w:r>
          </w:p>
        </w:tc>
      </w:tr>
      <w:tr w:rsidR="00803202" w:rsidRPr="00DB7BDE" w:rsidTr="00803202">
        <w:tc>
          <w:tcPr>
            <w:tcW w:w="4253" w:type="dxa"/>
            <w:shd w:val="clear" w:color="auto" w:fill="auto"/>
          </w:tcPr>
          <w:p w:rsidR="00803202" w:rsidRPr="002F713A" w:rsidRDefault="00803202" w:rsidP="00641A8D">
            <w:pPr>
              <w:jc w:val="both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B62F80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B62F80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03202" w:rsidRPr="002F713A" w:rsidRDefault="00B62F80" w:rsidP="00641A8D">
            <w:pPr>
              <w:jc w:val="center"/>
              <w:rPr>
                <w:rFonts w:eastAsia="Calibri"/>
                <w:lang w:eastAsia="en-US"/>
              </w:rPr>
            </w:pPr>
            <w:r w:rsidRPr="002F713A">
              <w:rPr>
                <w:rFonts w:eastAsia="Calibri"/>
                <w:lang w:eastAsia="en-US"/>
              </w:rPr>
              <w:t>0</w:t>
            </w:r>
          </w:p>
        </w:tc>
      </w:tr>
    </w:tbl>
    <w:p w:rsidR="00920B88" w:rsidRPr="00DB7BDE" w:rsidRDefault="00920B88" w:rsidP="00920B88">
      <w:pPr>
        <w:spacing w:after="200" w:line="276" w:lineRule="auto"/>
        <w:jc w:val="both"/>
        <w:rPr>
          <w:rFonts w:eastAsia="Calibri"/>
          <w:lang w:eastAsia="en-US"/>
        </w:rPr>
      </w:pPr>
    </w:p>
    <w:p w:rsidR="00920B88" w:rsidRPr="0049219D" w:rsidRDefault="00920B88" w:rsidP="00A822A4">
      <w:pPr>
        <w:ind w:firstLine="708"/>
        <w:jc w:val="both"/>
        <w:rPr>
          <w:rFonts w:eastAsia="Calibri"/>
          <w:lang w:eastAsia="en-US"/>
        </w:rPr>
      </w:pPr>
      <w:r w:rsidRPr="0049219D">
        <w:rPr>
          <w:rFonts w:eastAsia="Calibri"/>
          <w:lang w:eastAsia="en-US"/>
        </w:rPr>
        <w:t>Согласно статье 96 Бюджетного кодекса Российской Федерации в проекте бюджета городского округа Вичуга определены следующие источники финансирования дефицита местного бюджета:</w:t>
      </w:r>
    </w:p>
    <w:p w:rsidR="00920B88" w:rsidRPr="0049219D" w:rsidRDefault="00920B88" w:rsidP="00A822A4">
      <w:pPr>
        <w:ind w:firstLine="708"/>
        <w:jc w:val="both"/>
        <w:rPr>
          <w:rFonts w:eastAsia="Calibri"/>
          <w:lang w:eastAsia="en-US"/>
        </w:rPr>
      </w:pPr>
      <w:r w:rsidRPr="0049219D">
        <w:rPr>
          <w:rFonts w:eastAsia="Calibri"/>
          <w:lang w:eastAsia="en-US"/>
        </w:rPr>
        <w:t xml:space="preserve"> Получение кредитов от кредитных организаций бюджетами городских округов в валюте РФ на 201</w:t>
      </w:r>
      <w:r w:rsidR="00E151E3" w:rsidRPr="0049219D">
        <w:rPr>
          <w:rFonts w:eastAsia="Calibri"/>
          <w:lang w:eastAsia="en-US"/>
        </w:rPr>
        <w:t>5</w:t>
      </w:r>
      <w:r w:rsidRPr="0049219D">
        <w:rPr>
          <w:rFonts w:eastAsia="Calibri"/>
          <w:lang w:eastAsia="en-US"/>
        </w:rPr>
        <w:t xml:space="preserve"> год и плановый период 201</w:t>
      </w:r>
      <w:r w:rsidR="00E151E3" w:rsidRPr="0049219D">
        <w:rPr>
          <w:rFonts w:eastAsia="Calibri"/>
          <w:lang w:eastAsia="en-US"/>
        </w:rPr>
        <w:t>6</w:t>
      </w:r>
      <w:r w:rsidRPr="0049219D">
        <w:rPr>
          <w:rFonts w:eastAsia="Calibri"/>
          <w:lang w:eastAsia="en-US"/>
        </w:rPr>
        <w:t>-201</w:t>
      </w:r>
      <w:r w:rsidR="00E151E3" w:rsidRPr="0049219D">
        <w:rPr>
          <w:rFonts w:eastAsia="Calibri"/>
          <w:lang w:eastAsia="en-US"/>
        </w:rPr>
        <w:t>7</w:t>
      </w:r>
      <w:r w:rsidRPr="0049219D">
        <w:rPr>
          <w:rFonts w:eastAsia="Calibri"/>
          <w:lang w:eastAsia="en-US"/>
        </w:rPr>
        <w:t xml:space="preserve"> годов.</w:t>
      </w:r>
    </w:p>
    <w:p w:rsidR="00920B88" w:rsidRPr="0049219D" w:rsidRDefault="00920B88" w:rsidP="00A822A4">
      <w:pPr>
        <w:ind w:firstLine="708"/>
        <w:jc w:val="both"/>
        <w:rPr>
          <w:rFonts w:eastAsia="Calibri"/>
          <w:lang w:eastAsia="en-US"/>
        </w:rPr>
      </w:pPr>
      <w:r w:rsidRPr="0049219D">
        <w:rPr>
          <w:rFonts w:eastAsia="Calibri"/>
          <w:lang w:eastAsia="en-US"/>
        </w:rPr>
        <w:t>Предусматривается погашение кредитов в объемах, соответствующих привлеченным средствам.</w:t>
      </w:r>
    </w:p>
    <w:p w:rsidR="00920B88" w:rsidRPr="0049219D" w:rsidRDefault="00920B88" w:rsidP="00A822A4">
      <w:pPr>
        <w:ind w:firstLine="708"/>
        <w:jc w:val="both"/>
        <w:rPr>
          <w:rFonts w:eastAsia="Calibri"/>
          <w:lang w:eastAsia="en-US"/>
        </w:rPr>
      </w:pPr>
      <w:r w:rsidRPr="0049219D">
        <w:rPr>
          <w:rFonts w:eastAsia="Calibri"/>
          <w:lang w:eastAsia="en-US"/>
        </w:rPr>
        <w:t>Прогнозный план (программа) приватизации муниципального имущества городского округа Вичуга на 201</w:t>
      </w:r>
      <w:r w:rsidR="00CA5295" w:rsidRPr="0049219D">
        <w:rPr>
          <w:rFonts w:eastAsia="Calibri"/>
          <w:lang w:eastAsia="en-US"/>
        </w:rPr>
        <w:t>5</w:t>
      </w:r>
      <w:r w:rsidRPr="0049219D">
        <w:rPr>
          <w:rFonts w:eastAsia="Calibri"/>
          <w:lang w:eastAsia="en-US"/>
        </w:rPr>
        <w:t xml:space="preserve"> год и плановый период 201</w:t>
      </w:r>
      <w:r w:rsidR="00CA5295" w:rsidRPr="0049219D">
        <w:rPr>
          <w:rFonts w:eastAsia="Calibri"/>
          <w:lang w:eastAsia="en-US"/>
        </w:rPr>
        <w:t>6</w:t>
      </w:r>
      <w:r w:rsidRPr="0049219D">
        <w:rPr>
          <w:rFonts w:eastAsia="Calibri"/>
          <w:lang w:eastAsia="en-US"/>
        </w:rPr>
        <w:t>-201</w:t>
      </w:r>
      <w:r w:rsidR="00CA5295" w:rsidRPr="0049219D">
        <w:rPr>
          <w:rFonts w:eastAsia="Calibri"/>
          <w:lang w:eastAsia="en-US"/>
        </w:rPr>
        <w:t>7</w:t>
      </w:r>
      <w:r w:rsidRPr="0049219D">
        <w:rPr>
          <w:rFonts w:eastAsia="Calibri"/>
          <w:lang w:eastAsia="en-US"/>
        </w:rPr>
        <w:t xml:space="preserve"> годов</w:t>
      </w:r>
      <w:r w:rsidR="00CA5295" w:rsidRPr="0049219D">
        <w:rPr>
          <w:rFonts w:eastAsia="Calibri"/>
          <w:lang w:eastAsia="en-US"/>
        </w:rPr>
        <w:t xml:space="preserve"> в качестве приложения к проекту бюджета не предоставлен, поэтому сделать вывод о наличии акций находящихся в собственности муниципального образования</w:t>
      </w:r>
      <w:r w:rsidR="005E6730" w:rsidRPr="0049219D">
        <w:rPr>
          <w:rFonts w:eastAsia="Calibri"/>
          <w:lang w:eastAsia="en-US"/>
        </w:rPr>
        <w:t xml:space="preserve"> подлежащих приватизации не возможно</w:t>
      </w:r>
      <w:r w:rsidRPr="0049219D">
        <w:rPr>
          <w:rFonts w:eastAsia="Calibri"/>
          <w:lang w:eastAsia="en-US"/>
        </w:rPr>
        <w:t xml:space="preserve">. </w:t>
      </w:r>
    </w:p>
    <w:p w:rsidR="00920B88" w:rsidRDefault="00920B88" w:rsidP="00FC5D30">
      <w:pPr>
        <w:ind w:firstLine="708"/>
        <w:jc w:val="both"/>
        <w:rPr>
          <w:rFonts w:eastAsia="Calibri"/>
          <w:lang w:eastAsia="en-US"/>
        </w:rPr>
      </w:pPr>
      <w:r w:rsidRPr="0049219D">
        <w:rPr>
          <w:rFonts w:eastAsia="Calibri"/>
          <w:lang w:eastAsia="en-US"/>
        </w:rPr>
        <w:t>В случае временных кассовых разрывов в процессе исполнения бюджета городского округа Вичуга местный бюджет вправе получить бюджетные кредиты из областного бюджета, а также кредиты в Российских кредитных организациях с возвратом в течение года.</w:t>
      </w:r>
    </w:p>
    <w:p w:rsidR="009806B8" w:rsidRPr="00792D4F" w:rsidRDefault="00792D4F" w:rsidP="00FC5D30">
      <w:pPr>
        <w:ind w:firstLine="708"/>
        <w:jc w:val="both"/>
        <w:rPr>
          <w:rFonts w:eastAsia="Calibri"/>
          <w:b/>
          <w:lang w:eastAsia="en-US"/>
        </w:rPr>
      </w:pPr>
      <w:r w:rsidRPr="00792D4F">
        <w:rPr>
          <w:rFonts w:eastAsia="Calibri"/>
          <w:b/>
          <w:lang w:eastAsia="en-US"/>
        </w:rPr>
        <w:t>Контрольно-счетная комиссия отмечает, что в Проекте решения   дефицит   бюджета в 2015-2017 годах сформирован с учетом требований бюджетного законодательства и не превышает ограничения, установленные п.3 ст.92.1  Бюджетного кодекса Российской Федерации</w:t>
      </w:r>
      <w:r>
        <w:rPr>
          <w:rFonts w:eastAsia="Calibri"/>
          <w:b/>
          <w:lang w:eastAsia="en-US"/>
        </w:rPr>
        <w:t>.</w:t>
      </w:r>
    </w:p>
    <w:p w:rsidR="00296D50" w:rsidRDefault="00296D50" w:rsidP="00FC5D30">
      <w:pPr>
        <w:jc w:val="both"/>
        <w:rPr>
          <w:rFonts w:eastAsia="Calibri"/>
          <w:b/>
          <w:lang w:eastAsia="en-US"/>
        </w:rPr>
      </w:pPr>
    </w:p>
    <w:p w:rsidR="006518FF" w:rsidRDefault="006518FF" w:rsidP="00A822A4">
      <w:pPr>
        <w:ind w:firstLine="708"/>
        <w:jc w:val="both"/>
        <w:rPr>
          <w:rFonts w:eastAsia="Calibri"/>
          <w:b/>
          <w:lang w:eastAsia="en-US"/>
        </w:rPr>
      </w:pPr>
    </w:p>
    <w:p w:rsidR="006518FF" w:rsidRPr="00A822A4" w:rsidRDefault="006518FF" w:rsidP="00A822A4">
      <w:pPr>
        <w:ind w:firstLine="708"/>
        <w:jc w:val="both"/>
        <w:rPr>
          <w:rFonts w:eastAsia="Calibri"/>
          <w:b/>
          <w:lang w:eastAsia="en-US"/>
        </w:rPr>
      </w:pPr>
    </w:p>
    <w:p w:rsidR="001B2EED" w:rsidRPr="001B2EED" w:rsidRDefault="001B2EED" w:rsidP="001B2EED">
      <w:pPr>
        <w:rPr>
          <w:b/>
        </w:rPr>
      </w:pPr>
      <w:r w:rsidRPr="001B2EED">
        <w:rPr>
          <w:b/>
        </w:rPr>
        <w:t>Председатель Контрольно-счетной</w:t>
      </w:r>
    </w:p>
    <w:p w:rsidR="00D44F43" w:rsidRPr="00504FF4" w:rsidRDefault="006518FF" w:rsidP="003D3A01">
      <w:pPr>
        <w:rPr>
          <w:b/>
        </w:rPr>
      </w:pPr>
      <w:r>
        <w:rPr>
          <w:b/>
        </w:rPr>
        <w:t>к</w:t>
      </w:r>
      <w:r w:rsidR="001B2EED" w:rsidRPr="001B2EED">
        <w:rPr>
          <w:b/>
        </w:rPr>
        <w:t>омиссии</w:t>
      </w:r>
      <w:r>
        <w:rPr>
          <w:b/>
        </w:rPr>
        <w:t xml:space="preserve"> </w:t>
      </w:r>
      <w:r w:rsidR="001B2EED" w:rsidRPr="001B2EED">
        <w:rPr>
          <w:b/>
        </w:rPr>
        <w:t>городского округа Вичуга                                                             О.В. Стрелкова</w:t>
      </w:r>
    </w:p>
    <w:sectPr w:rsidR="00D44F43" w:rsidRPr="00504F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CD" w:rsidRDefault="007A0CCD" w:rsidP="005A76B6">
      <w:r>
        <w:separator/>
      </w:r>
    </w:p>
  </w:endnote>
  <w:endnote w:type="continuationSeparator" w:id="0">
    <w:p w:rsidR="007A0CCD" w:rsidRDefault="007A0CCD" w:rsidP="005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B3" w:rsidRDefault="00612CB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D0936">
      <w:rPr>
        <w:noProof/>
      </w:rPr>
      <w:t>1</w:t>
    </w:r>
    <w:r>
      <w:fldChar w:fldCharType="end"/>
    </w:r>
  </w:p>
  <w:p w:rsidR="00612CB3" w:rsidRDefault="00612C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CD" w:rsidRDefault="007A0CCD" w:rsidP="005A76B6">
      <w:r>
        <w:separator/>
      </w:r>
    </w:p>
  </w:footnote>
  <w:footnote w:type="continuationSeparator" w:id="0">
    <w:p w:rsidR="007A0CCD" w:rsidRDefault="007A0CCD" w:rsidP="005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038"/>
    <w:multiLevelType w:val="hybridMultilevel"/>
    <w:tmpl w:val="62247284"/>
    <w:lvl w:ilvl="0" w:tplc="504A908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916324"/>
    <w:multiLevelType w:val="hybridMultilevel"/>
    <w:tmpl w:val="04C0936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E9B3632"/>
    <w:multiLevelType w:val="hybridMultilevel"/>
    <w:tmpl w:val="99CA79C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56A16"/>
    <w:multiLevelType w:val="hybridMultilevel"/>
    <w:tmpl w:val="3A309652"/>
    <w:lvl w:ilvl="0" w:tplc="360236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A4A598F"/>
    <w:multiLevelType w:val="hybridMultilevel"/>
    <w:tmpl w:val="E8662AA4"/>
    <w:lvl w:ilvl="0" w:tplc="A6D6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2F66EC"/>
    <w:multiLevelType w:val="hybridMultilevel"/>
    <w:tmpl w:val="E090B7B0"/>
    <w:lvl w:ilvl="0" w:tplc="7DC20774">
      <w:numFmt w:val="bullet"/>
      <w:lvlText w:val=""/>
      <w:lvlJc w:val="left"/>
      <w:pPr>
        <w:tabs>
          <w:tab w:val="num" w:pos="1319"/>
        </w:tabs>
        <w:ind w:left="1319" w:hanging="1035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6162A"/>
    <w:multiLevelType w:val="hybridMultilevel"/>
    <w:tmpl w:val="F9DE674E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73276"/>
    <w:multiLevelType w:val="hybridMultilevel"/>
    <w:tmpl w:val="5DD8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22B4C"/>
    <w:multiLevelType w:val="hybridMultilevel"/>
    <w:tmpl w:val="6EB45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336E4"/>
    <w:multiLevelType w:val="hybridMultilevel"/>
    <w:tmpl w:val="E578C5F0"/>
    <w:lvl w:ilvl="0" w:tplc="8F7CED0E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317792"/>
    <w:multiLevelType w:val="hybridMultilevel"/>
    <w:tmpl w:val="E96EC1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01"/>
    <w:rsid w:val="00000C71"/>
    <w:rsid w:val="00003114"/>
    <w:rsid w:val="00003BAF"/>
    <w:rsid w:val="00012568"/>
    <w:rsid w:val="000133D6"/>
    <w:rsid w:val="00015B34"/>
    <w:rsid w:val="00016A15"/>
    <w:rsid w:val="00017247"/>
    <w:rsid w:val="00021EFF"/>
    <w:rsid w:val="00030CB4"/>
    <w:rsid w:val="000416AC"/>
    <w:rsid w:val="00050DAC"/>
    <w:rsid w:val="00054DCC"/>
    <w:rsid w:val="00067C71"/>
    <w:rsid w:val="000719F9"/>
    <w:rsid w:val="0007695D"/>
    <w:rsid w:val="00085660"/>
    <w:rsid w:val="000A20A0"/>
    <w:rsid w:val="000A394B"/>
    <w:rsid w:val="000A3E17"/>
    <w:rsid w:val="000A41FF"/>
    <w:rsid w:val="000A48B6"/>
    <w:rsid w:val="000A49CF"/>
    <w:rsid w:val="000A4A5A"/>
    <w:rsid w:val="000A52B5"/>
    <w:rsid w:val="000A73C0"/>
    <w:rsid w:val="000B2F08"/>
    <w:rsid w:val="000B5DFD"/>
    <w:rsid w:val="000C16EE"/>
    <w:rsid w:val="000C2A27"/>
    <w:rsid w:val="000C3E29"/>
    <w:rsid w:val="000C4EBD"/>
    <w:rsid w:val="000C5253"/>
    <w:rsid w:val="000D1199"/>
    <w:rsid w:val="000D65B5"/>
    <w:rsid w:val="000D6F78"/>
    <w:rsid w:val="000E37C4"/>
    <w:rsid w:val="000E63B2"/>
    <w:rsid w:val="000E74FC"/>
    <w:rsid w:val="000F3CD9"/>
    <w:rsid w:val="000F6450"/>
    <w:rsid w:val="000F75EF"/>
    <w:rsid w:val="00100B50"/>
    <w:rsid w:val="0010433E"/>
    <w:rsid w:val="0010561C"/>
    <w:rsid w:val="0010707B"/>
    <w:rsid w:val="001107F6"/>
    <w:rsid w:val="00110F35"/>
    <w:rsid w:val="00111011"/>
    <w:rsid w:val="00120239"/>
    <w:rsid w:val="00121D0B"/>
    <w:rsid w:val="00123901"/>
    <w:rsid w:val="00123CB7"/>
    <w:rsid w:val="00125946"/>
    <w:rsid w:val="00132E32"/>
    <w:rsid w:val="00141196"/>
    <w:rsid w:val="0015653D"/>
    <w:rsid w:val="00164547"/>
    <w:rsid w:val="00172719"/>
    <w:rsid w:val="001741FE"/>
    <w:rsid w:val="001750D8"/>
    <w:rsid w:val="0018372F"/>
    <w:rsid w:val="00185FE7"/>
    <w:rsid w:val="00186568"/>
    <w:rsid w:val="00187278"/>
    <w:rsid w:val="00197D09"/>
    <w:rsid w:val="001A027A"/>
    <w:rsid w:val="001A054A"/>
    <w:rsid w:val="001A1449"/>
    <w:rsid w:val="001A1B02"/>
    <w:rsid w:val="001A30A6"/>
    <w:rsid w:val="001A49EC"/>
    <w:rsid w:val="001B0631"/>
    <w:rsid w:val="001B2EED"/>
    <w:rsid w:val="001B40D0"/>
    <w:rsid w:val="001B4614"/>
    <w:rsid w:val="001B4A59"/>
    <w:rsid w:val="001B7021"/>
    <w:rsid w:val="001C5E10"/>
    <w:rsid w:val="001C6BAF"/>
    <w:rsid w:val="001C793A"/>
    <w:rsid w:val="001D4E36"/>
    <w:rsid w:val="001D4FAF"/>
    <w:rsid w:val="001E0A34"/>
    <w:rsid w:val="001E5D90"/>
    <w:rsid w:val="001F0787"/>
    <w:rsid w:val="001F2D7D"/>
    <w:rsid w:val="001F3980"/>
    <w:rsid w:val="001F3F9E"/>
    <w:rsid w:val="001F7E63"/>
    <w:rsid w:val="002021E8"/>
    <w:rsid w:val="0020221E"/>
    <w:rsid w:val="00202996"/>
    <w:rsid w:val="0020469B"/>
    <w:rsid w:val="0021177B"/>
    <w:rsid w:val="002138FC"/>
    <w:rsid w:val="00220671"/>
    <w:rsid w:val="00222059"/>
    <w:rsid w:val="0022453E"/>
    <w:rsid w:val="002249BA"/>
    <w:rsid w:val="00224DC7"/>
    <w:rsid w:val="0022590D"/>
    <w:rsid w:val="00231314"/>
    <w:rsid w:val="002320B3"/>
    <w:rsid w:val="0023299B"/>
    <w:rsid w:val="0023625D"/>
    <w:rsid w:val="00237B5D"/>
    <w:rsid w:val="00241E21"/>
    <w:rsid w:val="002450FF"/>
    <w:rsid w:val="00250482"/>
    <w:rsid w:val="002519F2"/>
    <w:rsid w:val="00257581"/>
    <w:rsid w:val="00257F72"/>
    <w:rsid w:val="0026335D"/>
    <w:rsid w:val="00263DB1"/>
    <w:rsid w:val="00265800"/>
    <w:rsid w:val="002715F4"/>
    <w:rsid w:val="00276F0A"/>
    <w:rsid w:val="002803F4"/>
    <w:rsid w:val="00286F34"/>
    <w:rsid w:val="0028720A"/>
    <w:rsid w:val="00290F0F"/>
    <w:rsid w:val="00293144"/>
    <w:rsid w:val="00296D50"/>
    <w:rsid w:val="002A26E3"/>
    <w:rsid w:val="002A3B04"/>
    <w:rsid w:val="002A5B3A"/>
    <w:rsid w:val="002A6F80"/>
    <w:rsid w:val="002B3B12"/>
    <w:rsid w:val="002B5D52"/>
    <w:rsid w:val="002B745A"/>
    <w:rsid w:val="002C7909"/>
    <w:rsid w:val="002C7CE5"/>
    <w:rsid w:val="002D0160"/>
    <w:rsid w:val="002D3FE0"/>
    <w:rsid w:val="002D70A6"/>
    <w:rsid w:val="002D7C55"/>
    <w:rsid w:val="002E3A03"/>
    <w:rsid w:val="002E3B76"/>
    <w:rsid w:val="002F017A"/>
    <w:rsid w:val="002F028D"/>
    <w:rsid w:val="002F6F51"/>
    <w:rsid w:val="002F713A"/>
    <w:rsid w:val="00301099"/>
    <w:rsid w:val="00301E07"/>
    <w:rsid w:val="0030207B"/>
    <w:rsid w:val="0030226D"/>
    <w:rsid w:val="00303F39"/>
    <w:rsid w:val="00304538"/>
    <w:rsid w:val="0030607A"/>
    <w:rsid w:val="00307757"/>
    <w:rsid w:val="00312F47"/>
    <w:rsid w:val="00314D06"/>
    <w:rsid w:val="003206F4"/>
    <w:rsid w:val="00321063"/>
    <w:rsid w:val="00325A44"/>
    <w:rsid w:val="0032675E"/>
    <w:rsid w:val="00331B1C"/>
    <w:rsid w:val="00337486"/>
    <w:rsid w:val="00337DC7"/>
    <w:rsid w:val="00340BA7"/>
    <w:rsid w:val="003423D6"/>
    <w:rsid w:val="00343B50"/>
    <w:rsid w:val="00350628"/>
    <w:rsid w:val="00351B5E"/>
    <w:rsid w:val="00353AB4"/>
    <w:rsid w:val="0035539D"/>
    <w:rsid w:val="00361535"/>
    <w:rsid w:val="00362256"/>
    <w:rsid w:val="0036405B"/>
    <w:rsid w:val="003737C3"/>
    <w:rsid w:val="00373F50"/>
    <w:rsid w:val="00377BEF"/>
    <w:rsid w:val="00380415"/>
    <w:rsid w:val="00380EF3"/>
    <w:rsid w:val="00380FD2"/>
    <w:rsid w:val="00384A26"/>
    <w:rsid w:val="00386E10"/>
    <w:rsid w:val="00387136"/>
    <w:rsid w:val="003917C7"/>
    <w:rsid w:val="003930E0"/>
    <w:rsid w:val="00394590"/>
    <w:rsid w:val="003A2325"/>
    <w:rsid w:val="003A64AB"/>
    <w:rsid w:val="003A6520"/>
    <w:rsid w:val="003A6E46"/>
    <w:rsid w:val="003A7486"/>
    <w:rsid w:val="003B1C9F"/>
    <w:rsid w:val="003B2EC9"/>
    <w:rsid w:val="003B7F7C"/>
    <w:rsid w:val="003C02F7"/>
    <w:rsid w:val="003C2626"/>
    <w:rsid w:val="003C37D9"/>
    <w:rsid w:val="003C52CD"/>
    <w:rsid w:val="003C684C"/>
    <w:rsid w:val="003C6C97"/>
    <w:rsid w:val="003C7328"/>
    <w:rsid w:val="003D1FC3"/>
    <w:rsid w:val="003D3121"/>
    <w:rsid w:val="003D3A01"/>
    <w:rsid w:val="003D45A3"/>
    <w:rsid w:val="003D7CA5"/>
    <w:rsid w:val="003E22D0"/>
    <w:rsid w:val="003E339A"/>
    <w:rsid w:val="003E36EF"/>
    <w:rsid w:val="003E393A"/>
    <w:rsid w:val="003E4036"/>
    <w:rsid w:val="003E405D"/>
    <w:rsid w:val="003E4DE5"/>
    <w:rsid w:val="003E7C85"/>
    <w:rsid w:val="003F20A7"/>
    <w:rsid w:val="003F459F"/>
    <w:rsid w:val="003F497B"/>
    <w:rsid w:val="003F695B"/>
    <w:rsid w:val="00401125"/>
    <w:rsid w:val="00402396"/>
    <w:rsid w:val="00413507"/>
    <w:rsid w:val="00417C5E"/>
    <w:rsid w:val="00422486"/>
    <w:rsid w:val="004339EE"/>
    <w:rsid w:val="0044015D"/>
    <w:rsid w:val="00447453"/>
    <w:rsid w:val="00455547"/>
    <w:rsid w:val="004561FA"/>
    <w:rsid w:val="00456867"/>
    <w:rsid w:val="00457A94"/>
    <w:rsid w:val="00465540"/>
    <w:rsid w:val="00470417"/>
    <w:rsid w:val="004732F8"/>
    <w:rsid w:val="00475001"/>
    <w:rsid w:val="0047792A"/>
    <w:rsid w:val="00481F42"/>
    <w:rsid w:val="00483206"/>
    <w:rsid w:val="0048361B"/>
    <w:rsid w:val="0049219D"/>
    <w:rsid w:val="00492C80"/>
    <w:rsid w:val="00493A59"/>
    <w:rsid w:val="004950B8"/>
    <w:rsid w:val="00496B60"/>
    <w:rsid w:val="004A039E"/>
    <w:rsid w:val="004A4048"/>
    <w:rsid w:val="004A608B"/>
    <w:rsid w:val="004A69B9"/>
    <w:rsid w:val="004A7B73"/>
    <w:rsid w:val="004B56D3"/>
    <w:rsid w:val="004C0FBA"/>
    <w:rsid w:val="004C3C9B"/>
    <w:rsid w:val="004C7513"/>
    <w:rsid w:val="004D0C9D"/>
    <w:rsid w:val="004D2918"/>
    <w:rsid w:val="004D2947"/>
    <w:rsid w:val="004D425E"/>
    <w:rsid w:val="004D5239"/>
    <w:rsid w:val="004E1D86"/>
    <w:rsid w:val="004E2A9A"/>
    <w:rsid w:val="004E5FBF"/>
    <w:rsid w:val="004E7C4E"/>
    <w:rsid w:val="004F0A66"/>
    <w:rsid w:val="004F16BA"/>
    <w:rsid w:val="004F2CAE"/>
    <w:rsid w:val="004F4F0A"/>
    <w:rsid w:val="0050206B"/>
    <w:rsid w:val="00504FF4"/>
    <w:rsid w:val="005107CD"/>
    <w:rsid w:val="005131CE"/>
    <w:rsid w:val="00523507"/>
    <w:rsid w:val="00527578"/>
    <w:rsid w:val="0053612A"/>
    <w:rsid w:val="005364F3"/>
    <w:rsid w:val="00536D1F"/>
    <w:rsid w:val="005443AA"/>
    <w:rsid w:val="00544764"/>
    <w:rsid w:val="00545CFE"/>
    <w:rsid w:val="005468F9"/>
    <w:rsid w:val="00546DAF"/>
    <w:rsid w:val="00553FA2"/>
    <w:rsid w:val="005559A5"/>
    <w:rsid w:val="00556C7F"/>
    <w:rsid w:val="0056350A"/>
    <w:rsid w:val="0056600C"/>
    <w:rsid w:val="00567ECB"/>
    <w:rsid w:val="00573688"/>
    <w:rsid w:val="00575645"/>
    <w:rsid w:val="00581832"/>
    <w:rsid w:val="005833AB"/>
    <w:rsid w:val="0058715E"/>
    <w:rsid w:val="005913B5"/>
    <w:rsid w:val="00591448"/>
    <w:rsid w:val="0059241E"/>
    <w:rsid w:val="00595015"/>
    <w:rsid w:val="00595F3A"/>
    <w:rsid w:val="00597A8D"/>
    <w:rsid w:val="005A32FA"/>
    <w:rsid w:val="005A415E"/>
    <w:rsid w:val="005A76B6"/>
    <w:rsid w:val="005B1616"/>
    <w:rsid w:val="005B48B4"/>
    <w:rsid w:val="005D1037"/>
    <w:rsid w:val="005D2D30"/>
    <w:rsid w:val="005D7D81"/>
    <w:rsid w:val="005E0940"/>
    <w:rsid w:val="005E1553"/>
    <w:rsid w:val="005E346E"/>
    <w:rsid w:val="005E3FBC"/>
    <w:rsid w:val="005E6730"/>
    <w:rsid w:val="005E676C"/>
    <w:rsid w:val="005E69C8"/>
    <w:rsid w:val="005E7539"/>
    <w:rsid w:val="005F62C3"/>
    <w:rsid w:val="005F6BE5"/>
    <w:rsid w:val="00602532"/>
    <w:rsid w:val="00604991"/>
    <w:rsid w:val="00612CB3"/>
    <w:rsid w:val="006145DC"/>
    <w:rsid w:val="0062151A"/>
    <w:rsid w:val="006222BE"/>
    <w:rsid w:val="006227DB"/>
    <w:rsid w:val="00622BFA"/>
    <w:rsid w:val="006267C3"/>
    <w:rsid w:val="00633E5B"/>
    <w:rsid w:val="00635927"/>
    <w:rsid w:val="006366DB"/>
    <w:rsid w:val="00637953"/>
    <w:rsid w:val="00640BD9"/>
    <w:rsid w:val="00641A8D"/>
    <w:rsid w:val="00641F01"/>
    <w:rsid w:val="0064386A"/>
    <w:rsid w:val="00643C89"/>
    <w:rsid w:val="006469DE"/>
    <w:rsid w:val="006502BD"/>
    <w:rsid w:val="006518FF"/>
    <w:rsid w:val="00664C85"/>
    <w:rsid w:val="00667170"/>
    <w:rsid w:val="006702A3"/>
    <w:rsid w:val="00670564"/>
    <w:rsid w:val="006708CD"/>
    <w:rsid w:val="00672428"/>
    <w:rsid w:val="006748A4"/>
    <w:rsid w:val="00677355"/>
    <w:rsid w:val="0069300E"/>
    <w:rsid w:val="006A2414"/>
    <w:rsid w:val="006A2676"/>
    <w:rsid w:val="006A5956"/>
    <w:rsid w:val="006A7AA0"/>
    <w:rsid w:val="006B678C"/>
    <w:rsid w:val="006C517E"/>
    <w:rsid w:val="006C5730"/>
    <w:rsid w:val="006C6DAC"/>
    <w:rsid w:val="006D2854"/>
    <w:rsid w:val="006D2877"/>
    <w:rsid w:val="006D70F3"/>
    <w:rsid w:val="006E1C9E"/>
    <w:rsid w:val="006E34A6"/>
    <w:rsid w:val="006E5782"/>
    <w:rsid w:val="006E6F50"/>
    <w:rsid w:val="006F0920"/>
    <w:rsid w:val="006F12BF"/>
    <w:rsid w:val="006F3BCB"/>
    <w:rsid w:val="00703B26"/>
    <w:rsid w:val="00704173"/>
    <w:rsid w:val="007063D1"/>
    <w:rsid w:val="00707EDD"/>
    <w:rsid w:val="0071232D"/>
    <w:rsid w:val="007143DC"/>
    <w:rsid w:val="0071469E"/>
    <w:rsid w:val="00714B2C"/>
    <w:rsid w:val="00721136"/>
    <w:rsid w:val="007225EA"/>
    <w:rsid w:val="0072349B"/>
    <w:rsid w:val="00732B96"/>
    <w:rsid w:val="00740DCD"/>
    <w:rsid w:val="00742768"/>
    <w:rsid w:val="00743E34"/>
    <w:rsid w:val="00755FF6"/>
    <w:rsid w:val="00761ABE"/>
    <w:rsid w:val="0076686C"/>
    <w:rsid w:val="00774D9F"/>
    <w:rsid w:val="00781C32"/>
    <w:rsid w:val="00781CAF"/>
    <w:rsid w:val="0078379A"/>
    <w:rsid w:val="00784960"/>
    <w:rsid w:val="00787703"/>
    <w:rsid w:val="00791887"/>
    <w:rsid w:val="00792642"/>
    <w:rsid w:val="00792D4F"/>
    <w:rsid w:val="007947D3"/>
    <w:rsid w:val="007962A5"/>
    <w:rsid w:val="00797A3E"/>
    <w:rsid w:val="007A068E"/>
    <w:rsid w:val="007A0CCD"/>
    <w:rsid w:val="007A47A2"/>
    <w:rsid w:val="007B22E5"/>
    <w:rsid w:val="007C1224"/>
    <w:rsid w:val="007C370B"/>
    <w:rsid w:val="007C4FE6"/>
    <w:rsid w:val="007C62AA"/>
    <w:rsid w:val="007D0D40"/>
    <w:rsid w:val="007E0858"/>
    <w:rsid w:val="007F264E"/>
    <w:rsid w:val="007F296C"/>
    <w:rsid w:val="007F2BC4"/>
    <w:rsid w:val="007F2F36"/>
    <w:rsid w:val="007F7BDE"/>
    <w:rsid w:val="008021A2"/>
    <w:rsid w:val="00803202"/>
    <w:rsid w:val="0080501C"/>
    <w:rsid w:val="0080549A"/>
    <w:rsid w:val="0080587B"/>
    <w:rsid w:val="00811A37"/>
    <w:rsid w:val="008132B3"/>
    <w:rsid w:val="00820033"/>
    <w:rsid w:val="0082196A"/>
    <w:rsid w:val="008273CA"/>
    <w:rsid w:val="00831A01"/>
    <w:rsid w:val="00832254"/>
    <w:rsid w:val="0083799D"/>
    <w:rsid w:val="00840F18"/>
    <w:rsid w:val="00847DD5"/>
    <w:rsid w:val="00851DDE"/>
    <w:rsid w:val="008522A2"/>
    <w:rsid w:val="00853935"/>
    <w:rsid w:val="008641D5"/>
    <w:rsid w:val="0086502F"/>
    <w:rsid w:val="00865329"/>
    <w:rsid w:val="008733F1"/>
    <w:rsid w:val="008746E5"/>
    <w:rsid w:val="00880EFB"/>
    <w:rsid w:val="008810B9"/>
    <w:rsid w:val="0088306B"/>
    <w:rsid w:val="0088534D"/>
    <w:rsid w:val="008909C8"/>
    <w:rsid w:val="00894CD8"/>
    <w:rsid w:val="00895AC5"/>
    <w:rsid w:val="008A0BC5"/>
    <w:rsid w:val="008A2293"/>
    <w:rsid w:val="008A38F0"/>
    <w:rsid w:val="008B176B"/>
    <w:rsid w:val="008B3FF0"/>
    <w:rsid w:val="008B4D52"/>
    <w:rsid w:val="008B737C"/>
    <w:rsid w:val="008C03D9"/>
    <w:rsid w:val="008C0CED"/>
    <w:rsid w:val="008C2E30"/>
    <w:rsid w:val="008C3C04"/>
    <w:rsid w:val="008C4BE8"/>
    <w:rsid w:val="008D04D6"/>
    <w:rsid w:val="008D7C8D"/>
    <w:rsid w:val="008E2D62"/>
    <w:rsid w:val="008E31CC"/>
    <w:rsid w:val="008E4405"/>
    <w:rsid w:val="008F061B"/>
    <w:rsid w:val="008F09AF"/>
    <w:rsid w:val="008F4D15"/>
    <w:rsid w:val="00905E03"/>
    <w:rsid w:val="00906B2C"/>
    <w:rsid w:val="00910564"/>
    <w:rsid w:val="00910BBD"/>
    <w:rsid w:val="00920041"/>
    <w:rsid w:val="00920B88"/>
    <w:rsid w:val="009251E9"/>
    <w:rsid w:val="00930B1D"/>
    <w:rsid w:val="0093151D"/>
    <w:rsid w:val="00935E69"/>
    <w:rsid w:val="00937C9B"/>
    <w:rsid w:val="00944749"/>
    <w:rsid w:val="00953C0A"/>
    <w:rsid w:val="00954ADC"/>
    <w:rsid w:val="00955F8B"/>
    <w:rsid w:val="0096251E"/>
    <w:rsid w:val="00967FE1"/>
    <w:rsid w:val="00972A03"/>
    <w:rsid w:val="00973B9C"/>
    <w:rsid w:val="0098007B"/>
    <w:rsid w:val="009806B8"/>
    <w:rsid w:val="00983559"/>
    <w:rsid w:val="00985C9D"/>
    <w:rsid w:val="00990728"/>
    <w:rsid w:val="009908B9"/>
    <w:rsid w:val="009964CB"/>
    <w:rsid w:val="009A5839"/>
    <w:rsid w:val="009B75CF"/>
    <w:rsid w:val="009B773B"/>
    <w:rsid w:val="009C093E"/>
    <w:rsid w:val="009C129E"/>
    <w:rsid w:val="009C2CDA"/>
    <w:rsid w:val="009C475E"/>
    <w:rsid w:val="009C4927"/>
    <w:rsid w:val="009C78F2"/>
    <w:rsid w:val="009C7C14"/>
    <w:rsid w:val="009D1157"/>
    <w:rsid w:val="009D4ED8"/>
    <w:rsid w:val="009E5F7A"/>
    <w:rsid w:val="009E720D"/>
    <w:rsid w:val="009F250E"/>
    <w:rsid w:val="009F30BD"/>
    <w:rsid w:val="00A023F8"/>
    <w:rsid w:val="00A03F1E"/>
    <w:rsid w:val="00A124A6"/>
    <w:rsid w:val="00A21625"/>
    <w:rsid w:val="00A2506A"/>
    <w:rsid w:val="00A2652E"/>
    <w:rsid w:val="00A33AEE"/>
    <w:rsid w:val="00A42354"/>
    <w:rsid w:val="00A45F9E"/>
    <w:rsid w:val="00A51509"/>
    <w:rsid w:val="00A5214B"/>
    <w:rsid w:val="00A541C0"/>
    <w:rsid w:val="00A56442"/>
    <w:rsid w:val="00A566B6"/>
    <w:rsid w:val="00A65CC0"/>
    <w:rsid w:val="00A74BFE"/>
    <w:rsid w:val="00A750FC"/>
    <w:rsid w:val="00A8197B"/>
    <w:rsid w:val="00A822A4"/>
    <w:rsid w:val="00A93AFE"/>
    <w:rsid w:val="00A94E26"/>
    <w:rsid w:val="00A961E4"/>
    <w:rsid w:val="00A97855"/>
    <w:rsid w:val="00A97AD8"/>
    <w:rsid w:val="00AA0902"/>
    <w:rsid w:val="00AA3E3F"/>
    <w:rsid w:val="00AA4139"/>
    <w:rsid w:val="00AA50E0"/>
    <w:rsid w:val="00AA68E2"/>
    <w:rsid w:val="00AA7F3E"/>
    <w:rsid w:val="00AB20BD"/>
    <w:rsid w:val="00AB26D7"/>
    <w:rsid w:val="00AC35C3"/>
    <w:rsid w:val="00AC432D"/>
    <w:rsid w:val="00AC45FC"/>
    <w:rsid w:val="00AC7919"/>
    <w:rsid w:val="00AD0936"/>
    <w:rsid w:val="00AD79AD"/>
    <w:rsid w:val="00AE163F"/>
    <w:rsid w:val="00AE193F"/>
    <w:rsid w:val="00AE25ED"/>
    <w:rsid w:val="00AE2A2C"/>
    <w:rsid w:val="00AE2B8C"/>
    <w:rsid w:val="00AE738D"/>
    <w:rsid w:val="00AF012F"/>
    <w:rsid w:val="00AF0382"/>
    <w:rsid w:val="00AF35AC"/>
    <w:rsid w:val="00AF44E3"/>
    <w:rsid w:val="00B00250"/>
    <w:rsid w:val="00B0206C"/>
    <w:rsid w:val="00B023F7"/>
    <w:rsid w:val="00B026A6"/>
    <w:rsid w:val="00B127BF"/>
    <w:rsid w:val="00B16441"/>
    <w:rsid w:val="00B17A43"/>
    <w:rsid w:val="00B206A1"/>
    <w:rsid w:val="00B26154"/>
    <w:rsid w:val="00B3194F"/>
    <w:rsid w:val="00B3574E"/>
    <w:rsid w:val="00B35A6B"/>
    <w:rsid w:val="00B36281"/>
    <w:rsid w:val="00B401FE"/>
    <w:rsid w:val="00B414DE"/>
    <w:rsid w:val="00B422B1"/>
    <w:rsid w:val="00B44BFD"/>
    <w:rsid w:val="00B509F9"/>
    <w:rsid w:val="00B51477"/>
    <w:rsid w:val="00B52890"/>
    <w:rsid w:val="00B54FDA"/>
    <w:rsid w:val="00B55298"/>
    <w:rsid w:val="00B56D5D"/>
    <w:rsid w:val="00B62F80"/>
    <w:rsid w:val="00B76CE7"/>
    <w:rsid w:val="00B90330"/>
    <w:rsid w:val="00B93CBC"/>
    <w:rsid w:val="00B9565B"/>
    <w:rsid w:val="00B97D5D"/>
    <w:rsid w:val="00BA6B03"/>
    <w:rsid w:val="00BC348E"/>
    <w:rsid w:val="00BC3827"/>
    <w:rsid w:val="00BD48B0"/>
    <w:rsid w:val="00BE0AA9"/>
    <w:rsid w:val="00BE679C"/>
    <w:rsid w:val="00BF08FB"/>
    <w:rsid w:val="00C13300"/>
    <w:rsid w:val="00C13FD9"/>
    <w:rsid w:val="00C17917"/>
    <w:rsid w:val="00C432E1"/>
    <w:rsid w:val="00C44A76"/>
    <w:rsid w:val="00C45555"/>
    <w:rsid w:val="00C4684E"/>
    <w:rsid w:val="00C55ABF"/>
    <w:rsid w:val="00C56AC9"/>
    <w:rsid w:val="00C6318A"/>
    <w:rsid w:val="00C65CBF"/>
    <w:rsid w:val="00C6618A"/>
    <w:rsid w:val="00C676DE"/>
    <w:rsid w:val="00C72086"/>
    <w:rsid w:val="00C72872"/>
    <w:rsid w:val="00C72BBF"/>
    <w:rsid w:val="00C76622"/>
    <w:rsid w:val="00C76D3F"/>
    <w:rsid w:val="00C81649"/>
    <w:rsid w:val="00C82318"/>
    <w:rsid w:val="00C848C2"/>
    <w:rsid w:val="00C8571E"/>
    <w:rsid w:val="00C86D52"/>
    <w:rsid w:val="00C93DAD"/>
    <w:rsid w:val="00C95C27"/>
    <w:rsid w:val="00C978B1"/>
    <w:rsid w:val="00C97F8B"/>
    <w:rsid w:val="00CA3938"/>
    <w:rsid w:val="00CA5295"/>
    <w:rsid w:val="00CA530D"/>
    <w:rsid w:val="00CB025A"/>
    <w:rsid w:val="00CB3C81"/>
    <w:rsid w:val="00CB4C9E"/>
    <w:rsid w:val="00CB5201"/>
    <w:rsid w:val="00CC02F2"/>
    <w:rsid w:val="00CC6394"/>
    <w:rsid w:val="00CD563C"/>
    <w:rsid w:val="00CD62EE"/>
    <w:rsid w:val="00CD71E5"/>
    <w:rsid w:val="00CE0465"/>
    <w:rsid w:val="00CE201F"/>
    <w:rsid w:val="00CE2CBF"/>
    <w:rsid w:val="00CE7E2A"/>
    <w:rsid w:val="00CF1FA0"/>
    <w:rsid w:val="00CF574A"/>
    <w:rsid w:val="00CF6DBE"/>
    <w:rsid w:val="00CF7E36"/>
    <w:rsid w:val="00D02B54"/>
    <w:rsid w:val="00D02C0A"/>
    <w:rsid w:val="00D03F2F"/>
    <w:rsid w:val="00D0646F"/>
    <w:rsid w:val="00D144E9"/>
    <w:rsid w:val="00D155C1"/>
    <w:rsid w:val="00D26326"/>
    <w:rsid w:val="00D26528"/>
    <w:rsid w:val="00D30CF9"/>
    <w:rsid w:val="00D31659"/>
    <w:rsid w:val="00D317B4"/>
    <w:rsid w:val="00D36621"/>
    <w:rsid w:val="00D36DE4"/>
    <w:rsid w:val="00D412CD"/>
    <w:rsid w:val="00D423D9"/>
    <w:rsid w:val="00D43674"/>
    <w:rsid w:val="00D44F43"/>
    <w:rsid w:val="00D45A74"/>
    <w:rsid w:val="00D45FE9"/>
    <w:rsid w:val="00D46D06"/>
    <w:rsid w:val="00D47FEF"/>
    <w:rsid w:val="00D5220B"/>
    <w:rsid w:val="00D617AD"/>
    <w:rsid w:val="00D658FD"/>
    <w:rsid w:val="00D77F72"/>
    <w:rsid w:val="00D81F25"/>
    <w:rsid w:val="00D824F0"/>
    <w:rsid w:val="00D82A5F"/>
    <w:rsid w:val="00D833DB"/>
    <w:rsid w:val="00D8454D"/>
    <w:rsid w:val="00D84577"/>
    <w:rsid w:val="00D865AE"/>
    <w:rsid w:val="00D91C78"/>
    <w:rsid w:val="00DA5400"/>
    <w:rsid w:val="00DB3A18"/>
    <w:rsid w:val="00DB5E56"/>
    <w:rsid w:val="00DB7BDE"/>
    <w:rsid w:val="00DC4AA6"/>
    <w:rsid w:val="00DD032C"/>
    <w:rsid w:val="00DE06DF"/>
    <w:rsid w:val="00DE7892"/>
    <w:rsid w:val="00DF0C17"/>
    <w:rsid w:val="00DF1FEE"/>
    <w:rsid w:val="00DF2BC0"/>
    <w:rsid w:val="00DF6FE8"/>
    <w:rsid w:val="00E04617"/>
    <w:rsid w:val="00E06150"/>
    <w:rsid w:val="00E148B3"/>
    <w:rsid w:val="00E149A5"/>
    <w:rsid w:val="00E151E3"/>
    <w:rsid w:val="00E219D5"/>
    <w:rsid w:val="00E23133"/>
    <w:rsid w:val="00E2650E"/>
    <w:rsid w:val="00E3686C"/>
    <w:rsid w:val="00E379A1"/>
    <w:rsid w:val="00E44244"/>
    <w:rsid w:val="00E44E6F"/>
    <w:rsid w:val="00E47FB2"/>
    <w:rsid w:val="00E52F76"/>
    <w:rsid w:val="00E5398A"/>
    <w:rsid w:val="00E54641"/>
    <w:rsid w:val="00E56132"/>
    <w:rsid w:val="00E5617A"/>
    <w:rsid w:val="00E5763A"/>
    <w:rsid w:val="00E6344E"/>
    <w:rsid w:val="00E64B6C"/>
    <w:rsid w:val="00E7793C"/>
    <w:rsid w:val="00E83719"/>
    <w:rsid w:val="00E83CEF"/>
    <w:rsid w:val="00E907D6"/>
    <w:rsid w:val="00E90BDA"/>
    <w:rsid w:val="00E92A45"/>
    <w:rsid w:val="00E96CD0"/>
    <w:rsid w:val="00EA4CE0"/>
    <w:rsid w:val="00EA54DB"/>
    <w:rsid w:val="00EA6B9A"/>
    <w:rsid w:val="00EA7322"/>
    <w:rsid w:val="00EB0A14"/>
    <w:rsid w:val="00EB29FC"/>
    <w:rsid w:val="00EB2D14"/>
    <w:rsid w:val="00EB3FB7"/>
    <w:rsid w:val="00EB4534"/>
    <w:rsid w:val="00EB4E50"/>
    <w:rsid w:val="00EB5575"/>
    <w:rsid w:val="00EB56C1"/>
    <w:rsid w:val="00EB5735"/>
    <w:rsid w:val="00EB588C"/>
    <w:rsid w:val="00EB5A0A"/>
    <w:rsid w:val="00EC0214"/>
    <w:rsid w:val="00EC08F3"/>
    <w:rsid w:val="00EC0900"/>
    <w:rsid w:val="00EC1C89"/>
    <w:rsid w:val="00EC7B68"/>
    <w:rsid w:val="00EC7D23"/>
    <w:rsid w:val="00ED06F7"/>
    <w:rsid w:val="00ED334A"/>
    <w:rsid w:val="00ED3A9B"/>
    <w:rsid w:val="00EE0669"/>
    <w:rsid w:val="00EE0E93"/>
    <w:rsid w:val="00EE108D"/>
    <w:rsid w:val="00EE1A85"/>
    <w:rsid w:val="00EE5E58"/>
    <w:rsid w:val="00EE6771"/>
    <w:rsid w:val="00EF015D"/>
    <w:rsid w:val="00EF1DBE"/>
    <w:rsid w:val="00EF7333"/>
    <w:rsid w:val="00F0055E"/>
    <w:rsid w:val="00F01026"/>
    <w:rsid w:val="00F01B1A"/>
    <w:rsid w:val="00F02DF6"/>
    <w:rsid w:val="00F03941"/>
    <w:rsid w:val="00F1187C"/>
    <w:rsid w:val="00F134AF"/>
    <w:rsid w:val="00F16ACD"/>
    <w:rsid w:val="00F17775"/>
    <w:rsid w:val="00F20D18"/>
    <w:rsid w:val="00F20D82"/>
    <w:rsid w:val="00F2460B"/>
    <w:rsid w:val="00F261FE"/>
    <w:rsid w:val="00F26B9C"/>
    <w:rsid w:val="00F32292"/>
    <w:rsid w:val="00F3308C"/>
    <w:rsid w:val="00F336A7"/>
    <w:rsid w:val="00F337F4"/>
    <w:rsid w:val="00F33B00"/>
    <w:rsid w:val="00F33B21"/>
    <w:rsid w:val="00F5283B"/>
    <w:rsid w:val="00F619AD"/>
    <w:rsid w:val="00F61EF0"/>
    <w:rsid w:val="00F633A7"/>
    <w:rsid w:val="00F67D00"/>
    <w:rsid w:val="00F7130F"/>
    <w:rsid w:val="00F71841"/>
    <w:rsid w:val="00F72FD4"/>
    <w:rsid w:val="00F74605"/>
    <w:rsid w:val="00F8449C"/>
    <w:rsid w:val="00FA29C3"/>
    <w:rsid w:val="00FB42A5"/>
    <w:rsid w:val="00FB545C"/>
    <w:rsid w:val="00FC05B8"/>
    <w:rsid w:val="00FC4CE1"/>
    <w:rsid w:val="00FC5D30"/>
    <w:rsid w:val="00FC6499"/>
    <w:rsid w:val="00FD11FE"/>
    <w:rsid w:val="00FE339D"/>
    <w:rsid w:val="00FF1FA1"/>
    <w:rsid w:val="00FF2530"/>
    <w:rsid w:val="00FF2E3B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3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3A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0B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528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76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6B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76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6B6"/>
    <w:rPr>
      <w:sz w:val="24"/>
      <w:szCs w:val="24"/>
    </w:rPr>
  </w:style>
  <w:style w:type="paragraph" w:styleId="aa">
    <w:name w:val="No Spacing"/>
    <w:link w:val="ab"/>
    <w:qFormat/>
    <w:rsid w:val="00612CB3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612CB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0A5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2C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3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3A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0B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528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76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6B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76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6B6"/>
    <w:rPr>
      <w:sz w:val="24"/>
      <w:szCs w:val="24"/>
    </w:rPr>
  </w:style>
  <w:style w:type="paragraph" w:styleId="aa">
    <w:name w:val="No Spacing"/>
    <w:link w:val="ab"/>
    <w:qFormat/>
    <w:rsid w:val="00612CB3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612CB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0A5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2C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537414965986401E-2"/>
          <c:y val="7.4534161490683232E-2"/>
          <c:w val="0.54421768707482998"/>
          <c:h val="0.726708074534161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467.41</c:v>
                </c:pt>
                <c:pt idx="1">
                  <c:v>471.48</c:v>
                </c:pt>
                <c:pt idx="2">
                  <c:v>545.79999999999995</c:v>
                </c:pt>
                <c:pt idx="3">
                  <c:v>503.7</c:v>
                </c:pt>
                <c:pt idx="4">
                  <c:v>446.8</c:v>
                </c:pt>
                <c:pt idx="5">
                  <c:v>423.3</c:v>
                </c:pt>
                <c:pt idx="6">
                  <c:v>421.8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460.73</c:v>
                </c:pt>
                <c:pt idx="1">
                  <c:v>482.14</c:v>
                </c:pt>
                <c:pt idx="2">
                  <c:v>515.4</c:v>
                </c:pt>
                <c:pt idx="3">
                  <c:v>533.20000000000005</c:v>
                </c:pt>
                <c:pt idx="4">
                  <c:v>459</c:v>
                </c:pt>
                <c:pt idx="5">
                  <c:v>435.4</c:v>
                </c:pt>
                <c:pt idx="6">
                  <c:v>433.9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Дефицит/Профицит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6.68</c:v>
                </c:pt>
                <c:pt idx="1">
                  <c:v>-10.65</c:v>
                </c:pt>
                <c:pt idx="2">
                  <c:v>30.3</c:v>
                </c:pt>
                <c:pt idx="3">
                  <c:v>-29.4</c:v>
                </c:pt>
                <c:pt idx="4">
                  <c:v>-12.1</c:v>
                </c:pt>
                <c:pt idx="5">
                  <c:v>-12.1</c:v>
                </c:pt>
                <c:pt idx="6">
                  <c:v>-12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916608"/>
        <c:axId val="96918144"/>
        <c:axId val="0"/>
      </c:bar3DChart>
      <c:catAx>
        <c:axId val="9691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91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918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916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646258503401356"/>
          <c:y val="0.36956521739130432"/>
          <c:w val="0.33673469387755101"/>
          <c:h val="0.26397515527950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068965517241378E-2"/>
          <c:y val="0.16115702479338842"/>
          <c:w val="0.92586206896551726"/>
          <c:h val="0.512396694214875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исполнение за 2011г.</c:v>
                </c:pt>
                <c:pt idx="1">
                  <c:v>исполнение за 2012г.</c:v>
                </c:pt>
                <c:pt idx="2">
                  <c:v> исполнение за 2013г.</c:v>
                </c:pt>
                <c:pt idx="3">
                  <c:v>ожидаемое исполнене  за 2014г.</c:v>
                </c:pt>
                <c:pt idx="4">
                  <c:v>прогноз на 2015г.</c:v>
                </c:pt>
                <c:pt idx="5">
                  <c:v>прогноз на 2016г.</c:v>
                </c:pt>
                <c:pt idx="6">
                  <c:v>прогноз на 2017г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85.38</c:v>
                </c:pt>
                <c:pt idx="1">
                  <c:v>70.89</c:v>
                </c:pt>
                <c:pt idx="2">
                  <c:v>88.86</c:v>
                </c:pt>
                <c:pt idx="3">
                  <c:v>79.959999999999994</c:v>
                </c:pt>
                <c:pt idx="4">
                  <c:v>96.4</c:v>
                </c:pt>
                <c:pt idx="5">
                  <c:v>105.79</c:v>
                </c:pt>
                <c:pt idx="6">
                  <c:v>106.58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исполнение за 2011г.</c:v>
                </c:pt>
                <c:pt idx="1">
                  <c:v>исполнение за 2012г.</c:v>
                </c:pt>
                <c:pt idx="2">
                  <c:v> исполнение за 2013г.</c:v>
                </c:pt>
                <c:pt idx="3">
                  <c:v>ожидаемое исполнене  за 2014г.</c:v>
                </c:pt>
                <c:pt idx="4">
                  <c:v>прогноз на 2015г.</c:v>
                </c:pt>
                <c:pt idx="5">
                  <c:v>прогноз на 2016г.</c:v>
                </c:pt>
                <c:pt idx="6">
                  <c:v>прогноз на 2017г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54.09</c:v>
                </c:pt>
                <c:pt idx="1">
                  <c:v>59.6</c:v>
                </c:pt>
                <c:pt idx="2">
                  <c:v>49.69</c:v>
                </c:pt>
                <c:pt idx="3">
                  <c:v>46.32</c:v>
                </c:pt>
                <c:pt idx="4">
                  <c:v>25.32</c:v>
                </c:pt>
                <c:pt idx="5">
                  <c:v>15.11</c:v>
                </c:pt>
                <c:pt idx="6">
                  <c:v>14.2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 поступления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исполнение за 2011г.</c:v>
                </c:pt>
                <c:pt idx="1">
                  <c:v>исполнение за 2012г.</c:v>
                </c:pt>
                <c:pt idx="2">
                  <c:v> исполнение за 2013г.</c:v>
                </c:pt>
                <c:pt idx="3">
                  <c:v>ожидаемое исполнене  за 2014г.</c:v>
                </c:pt>
                <c:pt idx="4">
                  <c:v>прогноз на 2015г.</c:v>
                </c:pt>
                <c:pt idx="5">
                  <c:v>прогноз на 2016г.</c:v>
                </c:pt>
                <c:pt idx="6">
                  <c:v>прогноз на 2017г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327.94</c:v>
                </c:pt>
                <c:pt idx="1">
                  <c:v>340.98</c:v>
                </c:pt>
                <c:pt idx="2">
                  <c:v>407.25</c:v>
                </c:pt>
                <c:pt idx="3">
                  <c:v>377.48</c:v>
                </c:pt>
                <c:pt idx="4">
                  <c:v>325.16000000000003</c:v>
                </c:pt>
                <c:pt idx="5">
                  <c:v>302.42</c:v>
                </c:pt>
                <c:pt idx="6">
                  <c:v>301.08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842112"/>
        <c:axId val="96843648"/>
        <c:axId val="0"/>
      </c:bar3DChart>
      <c:catAx>
        <c:axId val="9684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8436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68436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842112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1.5517241379310345E-2"/>
          <c:y val="0.8801652892561983"/>
          <c:w val="0.96896551724137936"/>
          <c:h val="0.11157024793388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722222222222224E-2"/>
                  <c:y val="3.944773175542406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92592592592592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Бюджет городского округа Вичуга на 2014 год и на плановый период 2015-2016 годов</c:v>
                </c:pt>
                <c:pt idx="1">
                  <c:v>Проект бюджета городского округа Вичуга на 2015 год и на плановый период 2016-2017 годов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425558.1</c:v>
                </c:pt>
                <c:pt idx="1">
                  <c:v>459064.6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Бюджет городского округа Вичуга на 2014 год и на плановый период 2015-2016 годов</c:v>
                </c:pt>
                <c:pt idx="1">
                  <c:v>Проект бюджета городского округа Вичуга на 2015 год и на плановый период 2016-2017 годов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404792.8</c:v>
                </c:pt>
                <c:pt idx="1">
                  <c:v>435426.2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5555555555555552E-2"/>
                  <c:y val="-1.18343195266272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Бюджет городского округа Вичуга на 2014 год и на плановый период 2015-2016 годов</c:v>
                </c:pt>
                <c:pt idx="1">
                  <c:v>Проект бюджета городского округа Вичуга на 2015 год и на плановый период 2016-2017 годов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433957.4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512064"/>
        <c:axId val="97063296"/>
        <c:axId val="0"/>
      </c:bar3DChart>
      <c:catAx>
        <c:axId val="9751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063296"/>
        <c:crosses val="autoZero"/>
        <c:auto val="1"/>
        <c:lblAlgn val="ctr"/>
        <c:lblOffset val="100"/>
        <c:noMultiLvlLbl val="0"/>
      </c:catAx>
      <c:valAx>
        <c:axId val="97063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75120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hPercent val="75"/>
      <c:rotY val="0"/>
      <c:depthPercent val="440"/>
      <c:rAngAx val="0"/>
      <c:perspective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948051948051951E-2"/>
          <c:y val="3.5593220338983052E-2"/>
          <c:w val="0.94805194805194803"/>
          <c:h val="0.528813559322033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План 2015 года</c:v>
                </c:pt>
              </c:strCache>
            </c:strRef>
          </c:tx>
          <c:spPr>
            <a:solidFill>
              <a:srgbClr val="9999FF"/>
            </a:solidFill>
            <a:ln w="122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0"/>
                <c:pt idx="0">
                  <c:v>Общегосударрственные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гос. и муниц. долга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0"/>
                <c:pt idx="0">
                  <c:v>50.84</c:v>
                </c:pt>
                <c:pt idx="1">
                  <c:v>2.37</c:v>
                </c:pt>
                <c:pt idx="2">
                  <c:v>27.1</c:v>
                </c:pt>
                <c:pt idx="3">
                  <c:v>33.6</c:v>
                </c:pt>
                <c:pt idx="4">
                  <c:v>289.7</c:v>
                </c:pt>
                <c:pt idx="5">
                  <c:v>32.71</c:v>
                </c:pt>
                <c:pt idx="6">
                  <c:v>10.36</c:v>
                </c:pt>
                <c:pt idx="7">
                  <c:v>11.12</c:v>
                </c:pt>
                <c:pt idx="8">
                  <c:v>1.02</c:v>
                </c:pt>
                <c:pt idx="9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 2016 года</c:v>
                </c:pt>
              </c:strCache>
            </c:strRef>
          </c:tx>
          <c:spPr>
            <a:solidFill>
              <a:srgbClr val="993366"/>
            </a:solidFill>
            <a:ln w="122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0"/>
                <c:pt idx="0">
                  <c:v>Общегосударрственные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гос. и муниц. долга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0"/>
                <c:pt idx="0">
                  <c:v>50.84</c:v>
                </c:pt>
                <c:pt idx="1">
                  <c:v>2.37</c:v>
                </c:pt>
                <c:pt idx="2">
                  <c:v>22.44</c:v>
                </c:pt>
                <c:pt idx="3">
                  <c:v>33.26</c:v>
                </c:pt>
                <c:pt idx="4">
                  <c:v>265.26</c:v>
                </c:pt>
                <c:pt idx="5">
                  <c:v>30.72</c:v>
                </c:pt>
                <c:pt idx="6">
                  <c:v>10.72</c:v>
                </c:pt>
                <c:pt idx="7">
                  <c:v>11.12</c:v>
                </c:pt>
                <c:pt idx="8">
                  <c:v>0.95</c:v>
                </c:pt>
                <c:pt idx="9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План 2017 года</c:v>
                </c:pt>
              </c:strCache>
            </c:strRef>
          </c:tx>
          <c:spPr>
            <a:solidFill>
              <a:srgbClr val="FFFFCC"/>
            </a:solidFill>
            <a:ln w="122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0"/>
                <c:pt idx="0">
                  <c:v>Общегосударрственные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Средства массовой информации</c:v>
                </c:pt>
                <c:pt idx="9">
                  <c:v>Обслуживание гос. и муниц. долга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0"/>
                <c:pt idx="0">
                  <c:v>50.72</c:v>
                </c:pt>
                <c:pt idx="1">
                  <c:v>2.37</c:v>
                </c:pt>
                <c:pt idx="2">
                  <c:v>20.98</c:v>
                </c:pt>
                <c:pt idx="3">
                  <c:v>37.869999999999997</c:v>
                </c:pt>
                <c:pt idx="4">
                  <c:v>255.29</c:v>
                </c:pt>
                <c:pt idx="5">
                  <c:v>28.36</c:v>
                </c:pt>
                <c:pt idx="6">
                  <c:v>10.72</c:v>
                </c:pt>
                <c:pt idx="7">
                  <c:v>11.19</c:v>
                </c:pt>
                <c:pt idx="8">
                  <c:v>0.95</c:v>
                </c:pt>
                <c:pt idx="9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110"/>
        <c:shape val="box"/>
        <c:axId val="97096832"/>
        <c:axId val="97098368"/>
        <c:axId val="0"/>
      </c:bar3DChart>
      <c:catAx>
        <c:axId val="9709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5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09836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97098368"/>
        <c:scaling>
          <c:orientation val="minMax"/>
        </c:scaling>
        <c:delete val="0"/>
        <c:axPos val="l"/>
        <c:majorGridlines>
          <c:spPr>
            <a:ln w="30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0968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053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52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44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0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246435845213852E-2"/>
          <c:y val="7.4626865671641784E-2"/>
          <c:w val="0.58248472505091653"/>
          <c:h val="0.751243781094527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2015 год </c:v>
                </c:pt>
                <c:pt idx="1">
                  <c:v>2016 год </c:v>
                </c:pt>
                <c:pt idx="2">
                  <c:v>2017 год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436.5</c:v>
                </c:pt>
                <c:pt idx="1">
                  <c:v>415.5</c:v>
                </c:pt>
                <c:pt idx="2">
                  <c:v>406.3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Непрограммные расходы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2015 год </c:v>
                </c:pt>
                <c:pt idx="1">
                  <c:v>2016 год </c:v>
                </c:pt>
                <c:pt idx="2">
                  <c:v>2017 год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22.5</c:v>
                </c:pt>
                <c:pt idx="1">
                  <c:v>12.3</c:v>
                </c:pt>
                <c:pt idx="2">
                  <c:v>12.3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7727616"/>
        <c:axId val="97729152"/>
        <c:axId val="0"/>
      </c:bar3DChart>
      <c:catAx>
        <c:axId val="9772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729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772915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727616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67413441955193487"/>
          <c:y val="0.39800995024875624"/>
          <c:w val="0.31771894093686354"/>
          <c:h val="0.20398009950248755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Утвержденные показатели на 2015 год в соответствии с решением о бюджете на 2014 год и плановый период 2015-2016 годов</c:v>
                </c:pt>
                <c:pt idx="1">
                  <c:v>Плановые показатели на 2015 год в соответствии с проектом бюджета на 2015 год и плановый период 2016-2017 годов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414527.7</c:v>
                </c:pt>
                <c:pt idx="1">
                  <c:v>446891.9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Утвержденные показатели на 2015 год в соответствии с решением о бюджете на 2014 год и плановый период 2015-2016 годов</c:v>
                </c:pt>
                <c:pt idx="1">
                  <c:v>Плановые показатели на 2015 год в соответствии с проектом бюджета на 2015 год и плановый период 2016-2017 годов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425558.1</c:v>
                </c:pt>
                <c:pt idx="1">
                  <c:v>459064.5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Утвержденные показатели на 2015 год в соответствии с решением о бюджете на 2014 год и плановый период 2015-2016 годов</c:v>
                </c:pt>
                <c:pt idx="1">
                  <c:v>Плановые показатели на 2015 год в соответствии с проектом бюджета на 2015 год и плановый период 2016-2017 годов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11030.4</c:v>
                </c:pt>
                <c:pt idx="1">
                  <c:v>12172.6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293440"/>
        <c:axId val="97294976"/>
      </c:barChart>
      <c:catAx>
        <c:axId val="97293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7294976"/>
        <c:crosses val="autoZero"/>
        <c:auto val="1"/>
        <c:lblAlgn val="ctr"/>
        <c:lblOffset val="100"/>
        <c:noMultiLvlLbl val="0"/>
      </c:catAx>
      <c:valAx>
        <c:axId val="97294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729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94557823129248"/>
          <c:y val="0.39116719242902209"/>
          <c:w val="0.12414965986394558"/>
          <c:h val="0.227129337539432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0.61821</cdr:x>
      <cdr:y>0.48985</cdr:y>
    </cdr:from>
    <cdr:to>
      <cdr:x>0.62129</cdr:x>
      <cdr:y>0.51565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15602" y="2972139"/>
          <a:ext cx="18531" cy="156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A5D5-970E-4951-99D7-CD868A5E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7392</Words>
  <Characters>42137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школа</Company>
  <LinksUpToDate>false</LinksUpToDate>
  <CharactersWithSpaces>49431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директор</dc:creator>
  <cp:lastModifiedBy>Пользователь</cp:lastModifiedBy>
  <cp:revision>2</cp:revision>
  <cp:lastPrinted>2014-11-24T12:21:00Z</cp:lastPrinted>
  <dcterms:created xsi:type="dcterms:W3CDTF">2014-11-26T11:35:00Z</dcterms:created>
  <dcterms:modified xsi:type="dcterms:W3CDTF">2014-11-26T11:35:00Z</dcterms:modified>
</cp:coreProperties>
</file>